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4B6C4" w14:textId="77777777" w:rsidR="00556320" w:rsidRPr="00737387" w:rsidRDefault="00556320" w:rsidP="00556320">
      <w:pPr>
        <w:spacing w:after="120"/>
        <w:jc w:val="center"/>
        <w:rPr>
          <w:rFonts w:cs="Arial"/>
          <w:b/>
        </w:rPr>
      </w:pPr>
      <w:r>
        <w:rPr>
          <w:noProof/>
          <w:lang w:eastAsia="en-GB"/>
        </w:rPr>
        <w:drawing>
          <wp:inline distT="0" distB="0" distL="0" distR="0" wp14:anchorId="66D40057" wp14:editId="6E1DEA30">
            <wp:extent cx="2362809" cy="1056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2581" cy="1069370"/>
                    </a:xfrm>
                    <a:prstGeom prst="rect">
                      <a:avLst/>
                    </a:prstGeom>
                  </pic:spPr>
                </pic:pic>
              </a:graphicData>
            </a:graphic>
          </wp:inline>
        </w:drawing>
      </w:r>
    </w:p>
    <w:p w14:paraId="60C432ED" w14:textId="77777777" w:rsidR="00556320" w:rsidRPr="00737387" w:rsidRDefault="00556320" w:rsidP="00556320">
      <w:pPr>
        <w:spacing w:after="120"/>
        <w:jc w:val="center"/>
        <w:rPr>
          <w:rFonts w:cs="Arial"/>
          <w:b/>
        </w:rPr>
      </w:pPr>
      <w:r w:rsidRPr="00737387">
        <w:rPr>
          <w:rFonts w:cs="Arial"/>
          <w:b/>
        </w:rPr>
        <w:t xml:space="preserve">BOARD MEETING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6080"/>
      </w:tblGrid>
      <w:tr w:rsidR="00556320" w:rsidRPr="00737387" w14:paraId="2A658515" w14:textId="77777777" w:rsidTr="003313AC">
        <w:tc>
          <w:tcPr>
            <w:tcW w:w="1628" w:type="pct"/>
            <w:shd w:val="clear" w:color="auto" w:fill="auto"/>
          </w:tcPr>
          <w:p w14:paraId="61E29100" w14:textId="77777777" w:rsidR="00556320" w:rsidRPr="00737387" w:rsidRDefault="00556320" w:rsidP="003313AC">
            <w:pPr>
              <w:spacing w:after="120" w:line="240" w:lineRule="auto"/>
              <w:rPr>
                <w:rFonts w:eastAsia="Calibri" w:cs="Arial"/>
                <w:b/>
              </w:rPr>
            </w:pPr>
            <w:r w:rsidRPr="00737387">
              <w:rPr>
                <w:rFonts w:eastAsia="Calibri" w:cs="Arial"/>
                <w:b/>
              </w:rPr>
              <w:t xml:space="preserve">DATE: </w:t>
            </w:r>
          </w:p>
        </w:tc>
        <w:tc>
          <w:tcPr>
            <w:tcW w:w="3372" w:type="pct"/>
            <w:shd w:val="clear" w:color="auto" w:fill="auto"/>
          </w:tcPr>
          <w:p w14:paraId="4BE1A436" w14:textId="5C96ECF4" w:rsidR="00556320" w:rsidRPr="00737387" w:rsidRDefault="009B13A6" w:rsidP="003313AC">
            <w:pPr>
              <w:spacing w:after="120" w:line="240" w:lineRule="auto"/>
              <w:rPr>
                <w:rFonts w:eastAsia="Calibri" w:cs="Arial"/>
              </w:rPr>
            </w:pPr>
            <w:r>
              <w:rPr>
                <w:rFonts w:eastAsia="Calibri" w:cs="Arial"/>
              </w:rPr>
              <w:t>May</w:t>
            </w:r>
            <w:r w:rsidR="00556320">
              <w:rPr>
                <w:rFonts w:eastAsia="Calibri" w:cs="Arial"/>
              </w:rPr>
              <w:t xml:space="preserve"> 2021</w:t>
            </w:r>
          </w:p>
        </w:tc>
      </w:tr>
      <w:tr w:rsidR="00556320" w:rsidRPr="00737387" w14:paraId="655DADDF" w14:textId="77777777" w:rsidTr="003313AC">
        <w:tc>
          <w:tcPr>
            <w:tcW w:w="1628" w:type="pct"/>
            <w:shd w:val="clear" w:color="auto" w:fill="auto"/>
          </w:tcPr>
          <w:p w14:paraId="13AF4BD3" w14:textId="77777777" w:rsidR="00556320" w:rsidRPr="00737387" w:rsidRDefault="00556320" w:rsidP="003313AC">
            <w:pPr>
              <w:spacing w:after="120" w:line="240" w:lineRule="auto"/>
              <w:rPr>
                <w:rFonts w:eastAsia="Calibri" w:cs="Arial"/>
                <w:b/>
              </w:rPr>
            </w:pPr>
            <w:r w:rsidRPr="00737387">
              <w:rPr>
                <w:rFonts w:eastAsia="Calibri" w:cs="Arial"/>
                <w:b/>
              </w:rPr>
              <w:t>TITLE OF REPORT:</w:t>
            </w:r>
          </w:p>
        </w:tc>
        <w:tc>
          <w:tcPr>
            <w:tcW w:w="3372" w:type="pct"/>
            <w:shd w:val="clear" w:color="auto" w:fill="auto"/>
          </w:tcPr>
          <w:p w14:paraId="46FCA549" w14:textId="77777777" w:rsidR="00556320" w:rsidRPr="00737387" w:rsidRDefault="00556320" w:rsidP="003313AC">
            <w:pPr>
              <w:spacing w:after="0" w:line="240" w:lineRule="auto"/>
              <w:rPr>
                <w:rFonts w:eastAsia="Calibri" w:cs="Arial"/>
              </w:rPr>
            </w:pPr>
            <w:r>
              <w:rPr>
                <w:rFonts w:eastAsia="Calibri" w:cs="Arial"/>
              </w:rPr>
              <w:t xml:space="preserve">Principal’s Update  </w:t>
            </w:r>
          </w:p>
        </w:tc>
      </w:tr>
      <w:tr w:rsidR="00556320" w:rsidRPr="00737387" w14:paraId="28A4DA64" w14:textId="77777777" w:rsidTr="003313AC">
        <w:tc>
          <w:tcPr>
            <w:tcW w:w="1628" w:type="pct"/>
            <w:shd w:val="clear" w:color="auto" w:fill="auto"/>
          </w:tcPr>
          <w:p w14:paraId="55E4215F" w14:textId="77777777" w:rsidR="00556320" w:rsidRPr="00737387" w:rsidRDefault="00556320" w:rsidP="003313AC">
            <w:pPr>
              <w:spacing w:after="120" w:line="240" w:lineRule="auto"/>
              <w:rPr>
                <w:rFonts w:eastAsia="Calibri" w:cs="Arial"/>
                <w:b/>
              </w:rPr>
            </w:pPr>
            <w:r w:rsidRPr="00737387">
              <w:rPr>
                <w:rFonts w:eastAsia="Calibri" w:cs="Arial"/>
                <w:b/>
              </w:rPr>
              <w:t xml:space="preserve">AUTHOR </w:t>
            </w:r>
            <w:r>
              <w:rPr>
                <w:rFonts w:eastAsia="Calibri" w:cs="Arial"/>
                <w:b/>
              </w:rPr>
              <w:t>AND CONTACT DETAILS</w:t>
            </w:r>
          </w:p>
        </w:tc>
        <w:tc>
          <w:tcPr>
            <w:tcW w:w="3372" w:type="pct"/>
            <w:shd w:val="clear" w:color="auto" w:fill="auto"/>
          </w:tcPr>
          <w:p w14:paraId="2BE11FCA" w14:textId="77777777" w:rsidR="00556320" w:rsidRDefault="00556320" w:rsidP="003313AC">
            <w:pPr>
              <w:spacing w:after="0" w:line="240" w:lineRule="auto"/>
              <w:rPr>
                <w:rFonts w:eastAsia="Calibri" w:cs="Arial"/>
              </w:rPr>
            </w:pPr>
            <w:r>
              <w:rPr>
                <w:rFonts w:eastAsia="Calibri" w:cs="Arial"/>
              </w:rPr>
              <w:t xml:space="preserve">Aileen McKechnie, Principal and CEO </w:t>
            </w:r>
          </w:p>
          <w:p w14:paraId="768D5FE5" w14:textId="77777777" w:rsidR="00556320" w:rsidRPr="00737387" w:rsidRDefault="006303E3" w:rsidP="003313AC">
            <w:pPr>
              <w:spacing w:after="0" w:line="240" w:lineRule="auto"/>
              <w:rPr>
                <w:rFonts w:eastAsia="Calibri" w:cs="Arial"/>
              </w:rPr>
            </w:pPr>
            <w:hyperlink r:id="rId9" w:history="1">
              <w:r w:rsidR="00556320" w:rsidRPr="00B6226C">
                <w:rPr>
                  <w:rStyle w:val="Hyperlink"/>
                  <w:rFonts w:eastAsia="Calibri" w:cs="Arial"/>
                </w:rPr>
                <w:t>Aileen.McKechnie@slc.ac.uk</w:t>
              </w:r>
            </w:hyperlink>
            <w:r w:rsidR="00556320">
              <w:rPr>
                <w:rFonts w:eastAsia="Calibri" w:cs="Arial"/>
              </w:rPr>
              <w:t xml:space="preserve">  </w:t>
            </w:r>
          </w:p>
        </w:tc>
      </w:tr>
      <w:tr w:rsidR="00556320" w:rsidRPr="00737387" w14:paraId="28B2C3B0" w14:textId="77777777" w:rsidTr="003313AC">
        <w:tc>
          <w:tcPr>
            <w:tcW w:w="1628" w:type="pct"/>
            <w:shd w:val="clear" w:color="auto" w:fill="auto"/>
          </w:tcPr>
          <w:p w14:paraId="575AEE17" w14:textId="77777777" w:rsidR="00556320" w:rsidRPr="00737387" w:rsidRDefault="00556320" w:rsidP="003313AC">
            <w:pPr>
              <w:spacing w:after="120" w:line="240" w:lineRule="auto"/>
              <w:rPr>
                <w:rFonts w:eastAsia="Calibri" w:cs="Arial"/>
                <w:b/>
              </w:rPr>
            </w:pPr>
            <w:r w:rsidRPr="00737387">
              <w:rPr>
                <w:rFonts w:eastAsia="Calibri" w:cs="Arial"/>
                <w:b/>
              </w:rPr>
              <w:t>PURPOSE:</w:t>
            </w:r>
          </w:p>
        </w:tc>
        <w:tc>
          <w:tcPr>
            <w:tcW w:w="3372" w:type="pct"/>
            <w:shd w:val="clear" w:color="auto" w:fill="auto"/>
          </w:tcPr>
          <w:p w14:paraId="566CD84C" w14:textId="77777777" w:rsidR="00556320" w:rsidRPr="00737387" w:rsidRDefault="00556320" w:rsidP="003313AC">
            <w:pPr>
              <w:spacing w:after="0" w:line="240" w:lineRule="auto"/>
              <w:rPr>
                <w:rFonts w:eastAsia="Arial" w:cs="Arial"/>
              </w:rPr>
            </w:pPr>
            <w:r w:rsidRPr="37410F21">
              <w:rPr>
                <w:rFonts w:eastAsia="Arial" w:cs="Arial"/>
              </w:rPr>
              <w:t xml:space="preserve">To </w:t>
            </w:r>
            <w:r>
              <w:rPr>
                <w:rFonts w:eastAsia="Arial" w:cs="Arial"/>
              </w:rPr>
              <w:t xml:space="preserve">provide the Board with a summary of in year performance to date. </w:t>
            </w:r>
          </w:p>
        </w:tc>
      </w:tr>
      <w:tr w:rsidR="00556320" w:rsidRPr="00737387" w14:paraId="79647695" w14:textId="77777777" w:rsidTr="003313AC">
        <w:trPr>
          <w:trHeight w:val="788"/>
        </w:trPr>
        <w:tc>
          <w:tcPr>
            <w:tcW w:w="1628" w:type="pct"/>
            <w:shd w:val="clear" w:color="auto" w:fill="auto"/>
          </w:tcPr>
          <w:p w14:paraId="6D09F5E0" w14:textId="77777777" w:rsidR="00556320" w:rsidRPr="00737387" w:rsidRDefault="00556320" w:rsidP="003313AC">
            <w:pPr>
              <w:spacing w:after="120" w:line="240" w:lineRule="auto"/>
              <w:rPr>
                <w:rFonts w:eastAsia="Calibri" w:cs="Arial"/>
                <w:b/>
              </w:rPr>
            </w:pPr>
            <w:r w:rsidRPr="00737387">
              <w:rPr>
                <w:rFonts w:eastAsia="Calibri" w:cs="Arial"/>
                <w:b/>
              </w:rPr>
              <w:t>KEY RECOMMENDATIONS</w:t>
            </w:r>
            <w:r>
              <w:rPr>
                <w:rFonts w:eastAsia="Calibri" w:cs="Arial"/>
                <w:b/>
              </w:rPr>
              <w:t>/ DECISIONS</w:t>
            </w:r>
            <w:r w:rsidRPr="00737387">
              <w:rPr>
                <w:rFonts w:eastAsia="Calibri" w:cs="Arial"/>
                <w:b/>
              </w:rPr>
              <w:t xml:space="preserve">: </w:t>
            </w:r>
          </w:p>
        </w:tc>
        <w:tc>
          <w:tcPr>
            <w:tcW w:w="3372" w:type="pct"/>
            <w:shd w:val="clear" w:color="auto" w:fill="auto"/>
          </w:tcPr>
          <w:p w14:paraId="322A8265" w14:textId="77777777" w:rsidR="00556320" w:rsidRDefault="00556320" w:rsidP="003313AC">
            <w:pPr>
              <w:spacing w:after="0" w:line="240" w:lineRule="auto"/>
              <w:rPr>
                <w:rFonts w:eastAsia="Calibri" w:cs="Arial"/>
              </w:rPr>
            </w:pPr>
            <w:r w:rsidRPr="37410F21">
              <w:rPr>
                <w:rFonts w:eastAsia="Calibri" w:cs="Arial"/>
              </w:rPr>
              <w:t>The Board is asked to</w:t>
            </w:r>
            <w:r>
              <w:rPr>
                <w:rFonts w:eastAsia="Calibri" w:cs="Arial"/>
              </w:rPr>
              <w:t>:</w:t>
            </w:r>
          </w:p>
          <w:p w14:paraId="5C7E6E90" w14:textId="0A7BBFCE" w:rsidR="00556320" w:rsidRPr="00397742" w:rsidRDefault="00556320" w:rsidP="00397742">
            <w:pPr>
              <w:pStyle w:val="ListParagraph"/>
              <w:numPr>
                <w:ilvl w:val="0"/>
                <w:numId w:val="4"/>
              </w:numPr>
              <w:spacing w:after="0" w:line="240" w:lineRule="auto"/>
              <w:rPr>
                <w:rFonts w:eastAsia="Calibri" w:cs="Arial"/>
              </w:rPr>
            </w:pPr>
            <w:r>
              <w:rPr>
                <w:rFonts w:eastAsia="Calibri" w:cs="Arial"/>
              </w:rPr>
              <w:t xml:space="preserve">Note the updates relating to staff, </w:t>
            </w:r>
            <w:r w:rsidR="00210DB9">
              <w:rPr>
                <w:rFonts w:eastAsia="Calibri" w:cs="Arial"/>
              </w:rPr>
              <w:t xml:space="preserve">students, </w:t>
            </w:r>
            <w:r>
              <w:rPr>
                <w:rFonts w:eastAsia="Calibri" w:cs="Arial"/>
              </w:rPr>
              <w:t>finance</w:t>
            </w:r>
            <w:r w:rsidR="009C6F64">
              <w:rPr>
                <w:rFonts w:eastAsia="Calibri" w:cs="Arial"/>
              </w:rPr>
              <w:t xml:space="preserve">, </w:t>
            </w:r>
            <w:proofErr w:type="gramStart"/>
            <w:r w:rsidR="009C6F64">
              <w:rPr>
                <w:rFonts w:eastAsia="Calibri" w:cs="Arial"/>
              </w:rPr>
              <w:t>health</w:t>
            </w:r>
            <w:proofErr w:type="gramEnd"/>
            <w:r w:rsidR="009C6F64">
              <w:rPr>
                <w:rFonts w:eastAsia="Calibri" w:cs="Arial"/>
              </w:rPr>
              <w:t xml:space="preserve"> and wellbeing,</w:t>
            </w:r>
            <w:r>
              <w:rPr>
                <w:rFonts w:eastAsia="Calibri" w:cs="Arial"/>
              </w:rPr>
              <w:t xml:space="preserve"> </w:t>
            </w:r>
            <w:r w:rsidR="00712071">
              <w:rPr>
                <w:rFonts w:eastAsia="Calibri" w:cs="Arial"/>
              </w:rPr>
              <w:t xml:space="preserve">as well as recruitment </w:t>
            </w:r>
            <w:r w:rsidR="00642920">
              <w:rPr>
                <w:rFonts w:eastAsia="Calibri" w:cs="Arial"/>
              </w:rPr>
              <w:t>and marketing</w:t>
            </w:r>
            <w:r w:rsidR="009C6F64">
              <w:rPr>
                <w:rFonts w:eastAsia="Calibri" w:cs="Arial"/>
              </w:rPr>
              <w:t xml:space="preserve"> and comms. </w:t>
            </w:r>
          </w:p>
        </w:tc>
      </w:tr>
      <w:tr w:rsidR="00556320" w:rsidRPr="00737387" w14:paraId="049F9C19" w14:textId="77777777" w:rsidTr="003313AC">
        <w:trPr>
          <w:trHeight w:val="788"/>
        </w:trPr>
        <w:tc>
          <w:tcPr>
            <w:tcW w:w="1628" w:type="pct"/>
            <w:shd w:val="clear" w:color="auto" w:fill="auto"/>
          </w:tcPr>
          <w:p w14:paraId="1E261E07" w14:textId="77777777" w:rsidR="00556320" w:rsidRPr="00737387" w:rsidRDefault="00556320" w:rsidP="003313AC">
            <w:pPr>
              <w:spacing w:after="120" w:line="240" w:lineRule="auto"/>
              <w:rPr>
                <w:rFonts w:eastAsia="Calibri" w:cs="Arial"/>
                <w:b/>
              </w:rPr>
            </w:pPr>
            <w:r>
              <w:rPr>
                <w:rFonts w:eastAsia="Calibri" w:cs="Arial"/>
                <w:b/>
              </w:rPr>
              <w:t xml:space="preserve">RISK </w:t>
            </w:r>
          </w:p>
        </w:tc>
        <w:tc>
          <w:tcPr>
            <w:tcW w:w="3372" w:type="pct"/>
            <w:shd w:val="clear" w:color="auto" w:fill="auto"/>
          </w:tcPr>
          <w:p w14:paraId="375ABB99" w14:textId="6BA79F2B" w:rsidR="00556320" w:rsidRDefault="0096304F" w:rsidP="00556320">
            <w:pPr>
              <w:pStyle w:val="ListParagraph"/>
              <w:numPr>
                <w:ilvl w:val="0"/>
                <w:numId w:val="4"/>
              </w:numPr>
              <w:spacing w:after="0" w:line="240" w:lineRule="auto"/>
              <w:rPr>
                <w:rFonts w:eastAsia="Calibri" w:cs="Arial"/>
              </w:rPr>
            </w:pPr>
            <w:r>
              <w:rPr>
                <w:rFonts w:eastAsia="Calibri" w:cs="Arial"/>
              </w:rPr>
              <w:t>That overall</w:t>
            </w:r>
            <w:r w:rsidR="00556320">
              <w:rPr>
                <w:rFonts w:eastAsia="Calibri" w:cs="Arial"/>
              </w:rPr>
              <w:t xml:space="preserve"> college attainment is impacted by COVID-19 and deferrals</w:t>
            </w:r>
            <w:r w:rsidR="00210DB9">
              <w:rPr>
                <w:rFonts w:eastAsia="Calibri" w:cs="Arial"/>
              </w:rPr>
              <w:t>, with ensuing impact on student success and college reputation</w:t>
            </w:r>
            <w:r w:rsidR="00556320">
              <w:rPr>
                <w:rFonts w:eastAsia="Calibri" w:cs="Arial"/>
              </w:rPr>
              <w:t xml:space="preserve">. </w:t>
            </w:r>
          </w:p>
          <w:p w14:paraId="68E69B81" w14:textId="0B402019" w:rsidR="00556320" w:rsidRDefault="00642920" w:rsidP="00556320">
            <w:pPr>
              <w:pStyle w:val="ListParagraph"/>
              <w:numPr>
                <w:ilvl w:val="0"/>
                <w:numId w:val="4"/>
              </w:numPr>
              <w:spacing w:after="0" w:line="240" w:lineRule="auto"/>
              <w:rPr>
                <w:rFonts w:eastAsia="Calibri" w:cs="Arial"/>
              </w:rPr>
            </w:pPr>
            <w:r>
              <w:rPr>
                <w:rFonts w:eastAsia="Calibri" w:cs="Arial"/>
              </w:rPr>
              <w:t>That the financial deficit continues to increase due to unplanned spend on staffing</w:t>
            </w:r>
            <w:r w:rsidR="00210DB9">
              <w:rPr>
                <w:rFonts w:eastAsia="Calibri" w:cs="Arial"/>
              </w:rPr>
              <w:t xml:space="preserve">, </w:t>
            </w:r>
            <w:r>
              <w:rPr>
                <w:rFonts w:eastAsia="Calibri" w:cs="Arial"/>
              </w:rPr>
              <w:t>an increase in unpaid fees</w:t>
            </w:r>
            <w:r w:rsidR="00B744FC">
              <w:rPr>
                <w:rFonts w:eastAsia="Calibri" w:cs="Arial"/>
              </w:rPr>
              <w:t xml:space="preserve"> or other unforeseen expenditure</w:t>
            </w:r>
            <w:r>
              <w:rPr>
                <w:rFonts w:eastAsia="Calibri" w:cs="Arial"/>
              </w:rPr>
              <w:t xml:space="preserve">. </w:t>
            </w:r>
          </w:p>
          <w:p w14:paraId="3E84B850" w14:textId="3AF1291C" w:rsidR="00AF3196" w:rsidRPr="007C3F78" w:rsidRDefault="00AF3196" w:rsidP="00556320">
            <w:pPr>
              <w:pStyle w:val="ListParagraph"/>
              <w:numPr>
                <w:ilvl w:val="0"/>
                <w:numId w:val="4"/>
              </w:numPr>
              <w:spacing w:after="0" w:line="240" w:lineRule="auto"/>
              <w:rPr>
                <w:rFonts w:eastAsia="Calibri" w:cs="Arial"/>
              </w:rPr>
            </w:pPr>
            <w:r>
              <w:rPr>
                <w:rFonts w:eastAsia="Calibri" w:cs="Arial"/>
              </w:rPr>
              <w:t xml:space="preserve">That the backlog maintenance funds are clawed back. </w:t>
            </w:r>
          </w:p>
        </w:tc>
      </w:tr>
      <w:tr w:rsidR="00556320" w:rsidRPr="00737387" w14:paraId="51EDBF46" w14:textId="77777777" w:rsidTr="003313AC">
        <w:trPr>
          <w:trHeight w:val="794"/>
        </w:trPr>
        <w:tc>
          <w:tcPr>
            <w:tcW w:w="1628" w:type="pct"/>
            <w:shd w:val="clear" w:color="auto" w:fill="auto"/>
          </w:tcPr>
          <w:p w14:paraId="7A34260C" w14:textId="77777777" w:rsidR="00556320" w:rsidRPr="00737387" w:rsidRDefault="00556320" w:rsidP="003313AC">
            <w:pPr>
              <w:spacing w:after="120" w:line="240" w:lineRule="auto"/>
              <w:rPr>
                <w:rFonts w:cs="Arial"/>
                <w:b/>
              </w:rPr>
            </w:pPr>
            <w:r w:rsidRPr="00737387">
              <w:rPr>
                <w:rFonts w:cs="Arial"/>
                <w:b/>
              </w:rPr>
              <w:t>RELEVANT STRATEGIC AIM:</w:t>
            </w:r>
          </w:p>
        </w:tc>
        <w:tc>
          <w:tcPr>
            <w:tcW w:w="3372" w:type="pct"/>
            <w:shd w:val="clear" w:color="auto" w:fill="auto"/>
          </w:tcPr>
          <w:p w14:paraId="3DA498B0" w14:textId="77777777" w:rsidR="00556320" w:rsidRPr="00E4556F" w:rsidRDefault="00556320" w:rsidP="00556320">
            <w:pPr>
              <w:pStyle w:val="ListParagraph"/>
              <w:widowControl w:val="0"/>
              <w:numPr>
                <w:ilvl w:val="0"/>
                <w:numId w:val="5"/>
              </w:numPr>
              <w:autoSpaceDE w:val="0"/>
              <w:autoSpaceDN w:val="0"/>
              <w:adjustRightInd w:val="0"/>
              <w:spacing w:after="0" w:line="240" w:lineRule="auto"/>
              <w:rPr>
                <w:rFonts w:cs="Arial"/>
              </w:rPr>
            </w:pPr>
            <w:r w:rsidRPr="00E4556F">
              <w:rPr>
                <w:rFonts w:cs="Arial"/>
              </w:rPr>
              <w:t>Successful Students</w:t>
            </w:r>
          </w:p>
          <w:p w14:paraId="6E827B5D" w14:textId="77777777" w:rsidR="00556320" w:rsidRDefault="00556320" w:rsidP="00556320">
            <w:pPr>
              <w:pStyle w:val="ListParagraph"/>
              <w:widowControl w:val="0"/>
              <w:numPr>
                <w:ilvl w:val="0"/>
                <w:numId w:val="5"/>
              </w:numPr>
              <w:autoSpaceDE w:val="0"/>
              <w:autoSpaceDN w:val="0"/>
              <w:adjustRightInd w:val="0"/>
              <w:spacing w:after="0" w:line="240" w:lineRule="auto"/>
              <w:rPr>
                <w:rFonts w:cs="Arial"/>
              </w:rPr>
            </w:pPr>
            <w:r w:rsidRPr="00E4556F">
              <w:rPr>
                <w:rFonts w:cs="Arial"/>
              </w:rPr>
              <w:t>The Highest Quality Education and Support</w:t>
            </w:r>
          </w:p>
          <w:p w14:paraId="1EC3A06A" w14:textId="77777777" w:rsidR="00556320" w:rsidRPr="00737387" w:rsidRDefault="00556320" w:rsidP="00556320">
            <w:pPr>
              <w:pStyle w:val="ListParagraph"/>
              <w:widowControl w:val="0"/>
              <w:numPr>
                <w:ilvl w:val="0"/>
                <w:numId w:val="5"/>
              </w:numPr>
              <w:autoSpaceDE w:val="0"/>
              <w:autoSpaceDN w:val="0"/>
              <w:adjustRightInd w:val="0"/>
              <w:spacing w:after="0" w:line="240" w:lineRule="auto"/>
              <w:rPr>
                <w:rFonts w:asciiTheme="minorHAnsi" w:eastAsiaTheme="minorEastAsia" w:hAnsiTheme="minorHAnsi"/>
              </w:rPr>
            </w:pPr>
            <w:r>
              <w:rPr>
                <w:rFonts w:cs="Arial"/>
              </w:rPr>
              <w:t xml:space="preserve">Sustainable Behaviours </w:t>
            </w:r>
          </w:p>
        </w:tc>
      </w:tr>
      <w:tr w:rsidR="00556320" w:rsidRPr="00737387" w14:paraId="0C82781E" w14:textId="77777777" w:rsidTr="003313AC">
        <w:trPr>
          <w:trHeight w:val="788"/>
        </w:trPr>
        <w:tc>
          <w:tcPr>
            <w:tcW w:w="1628" w:type="pct"/>
            <w:shd w:val="clear" w:color="auto" w:fill="auto"/>
          </w:tcPr>
          <w:p w14:paraId="28CFC62F" w14:textId="77777777" w:rsidR="00556320" w:rsidRPr="00737387" w:rsidRDefault="00556320" w:rsidP="003313AC">
            <w:pPr>
              <w:spacing w:after="120" w:line="240" w:lineRule="auto"/>
              <w:rPr>
                <w:rFonts w:eastAsia="Calibri" w:cs="Arial"/>
                <w:b/>
              </w:rPr>
            </w:pPr>
            <w:r w:rsidRPr="00737387">
              <w:rPr>
                <w:rFonts w:eastAsia="Calibri" w:cs="Arial"/>
                <w:b/>
              </w:rPr>
              <w:t>SUMMARY OF REPORT:</w:t>
            </w:r>
          </w:p>
        </w:tc>
        <w:tc>
          <w:tcPr>
            <w:tcW w:w="3372" w:type="pct"/>
            <w:shd w:val="clear" w:color="auto" w:fill="auto"/>
          </w:tcPr>
          <w:p w14:paraId="45F2C62D" w14:textId="77777777" w:rsidR="00556320" w:rsidRDefault="00556320" w:rsidP="00556320">
            <w:pPr>
              <w:pStyle w:val="ListParagraph"/>
              <w:numPr>
                <w:ilvl w:val="0"/>
                <w:numId w:val="3"/>
              </w:numPr>
              <w:spacing w:after="0" w:line="240" w:lineRule="auto"/>
              <w:jc w:val="both"/>
              <w:rPr>
                <w:rFonts w:eastAsia="Calibri" w:cs="Arial"/>
              </w:rPr>
            </w:pPr>
            <w:r>
              <w:rPr>
                <w:rFonts w:eastAsia="Calibri" w:cs="Arial"/>
              </w:rPr>
              <w:t>New staff appointed since last Board Meeting.</w:t>
            </w:r>
          </w:p>
          <w:p w14:paraId="6BE741CD" w14:textId="05D62AC7" w:rsidR="00B744FC" w:rsidRDefault="00B744FC" w:rsidP="00556320">
            <w:pPr>
              <w:pStyle w:val="ListParagraph"/>
              <w:numPr>
                <w:ilvl w:val="0"/>
                <w:numId w:val="3"/>
              </w:numPr>
              <w:spacing w:after="0" w:line="240" w:lineRule="auto"/>
              <w:jc w:val="both"/>
              <w:rPr>
                <w:rFonts w:eastAsia="Calibri" w:cs="Arial"/>
              </w:rPr>
            </w:pPr>
            <w:r>
              <w:rPr>
                <w:rFonts w:eastAsia="Calibri" w:cs="Arial"/>
              </w:rPr>
              <w:t>Students have been returning to campus in a careful</w:t>
            </w:r>
            <w:r w:rsidR="00353569">
              <w:rPr>
                <w:rFonts w:eastAsia="Calibri" w:cs="Arial"/>
              </w:rPr>
              <w:t xml:space="preserve">ly </w:t>
            </w:r>
            <w:r>
              <w:rPr>
                <w:rFonts w:eastAsia="Calibri" w:cs="Arial"/>
              </w:rPr>
              <w:t xml:space="preserve">managed way to support the conclusion of their learning.  </w:t>
            </w:r>
          </w:p>
          <w:p w14:paraId="0DA982AB" w14:textId="361C048C" w:rsidR="00556320" w:rsidRDefault="00556320" w:rsidP="00556320">
            <w:pPr>
              <w:pStyle w:val="ListParagraph"/>
              <w:numPr>
                <w:ilvl w:val="0"/>
                <w:numId w:val="3"/>
              </w:numPr>
              <w:spacing w:after="0" w:line="240" w:lineRule="auto"/>
              <w:jc w:val="both"/>
              <w:rPr>
                <w:rFonts w:eastAsia="Calibri" w:cs="Arial"/>
              </w:rPr>
            </w:pPr>
            <w:r>
              <w:rPr>
                <w:rFonts w:eastAsia="Calibri" w:cs="Arial"/>
              </w:rPr>
              <w:t xml:space="preserve">Finance update and forecast </w:t>
            </w:r>
            <w:r w:rsidR="009155D1">
              <w:rPr>
                <w:rFonts w:eastAsia="Calibri" w:cs="Arial"/>
              </w:rPr>
              <w:t>worst case</w:t>
            </w:r>
            <w:r w:rsidR="00042AA5">
              <w:rPr>
                <w:rFonts w:eastAsia="Calibri" w:cs="Arial"/>
              </w:rPr>
              <w:t xml:space="preserve"> </w:t>
            </w:r>
            <w:r w:rsidR="005B1523">
              <w:rPr>
                <w:rFonts w:eastAsia="Calibri" w:cs="Arial"/>
              </w:rPr>
              <w:t xml:space="preserve">scenario </w:t>
            </w:r>
            <w:r>
              <w:rPr>
                <w:rFonts w:eastAsia="Calibri" w:cs="Arial"/>
              </w:rPr>
              <w:t>deficit of £</w:t>
            </w:r>
            <w:r w:rsidR="00042AA5">
              <w:rPr>
                <w:rFonts w:eastAsia="Calibri" w:cs="Arial"/>
              </w:rPr>
              <w:t>253</w:t>
            </w:r>
            <w:r>
              <w:rPr>
                <w:rFonts w:eastAsia="Calibri" w:cs="Arial"/>
              </w:rPr>
              <w:t>k.</w:t>
            </w:r>
          </w:p>
          <w:p w14:paraId="7FA1C978" w14:textId="41C479E0" w:rsidR="007D2ED6" w:rsidRDefault="007D2ED6" w:rsidP="00556320">
            <w:pPr>
              <w:pStyle w:val="ListParagraph"/>
              <w:numPr>
                <w:ilvl w:val="0"/>
                <w:numId w:val="3"/>
              </w:numPr>
              <w:spacing w:after="0" w:line="240" w:lineRule="auto"/>
              <w:jc w:val="both"/>
              <w:rPr>
                <w:rFonts w:eastAsia="Calibri" w:cs="Arial"/>
              </w:rPr>
            </w:pPr>
            <w:r>
              <w:rPr>
                <w:rFonts w:eastAsia="Calibri" w:cs="Arial"/>
              </w:rPr>
              <w:t xml:space="preserve">Note the final regional allocation for 2021-22. </w:t>
            </w:r>
          </w:p>
          <w:p w14:paraId="06E2E7B4" w14:textId="1B4E71E7" w:rsidR="00556320" w:rsidRDefault="00556320" w:rsidP="00556320">
            <w:pPr>
              <w:pStyle w:val="ListParagraph"/>
              <w:numPr>
                <w:ilvl w:val="0"/>
                <w:numId w:val="3"/>
              </w:numPr>
              <w:spacing w:after="0" w:line="240" w:lineRule="auto"/>
              <w:jc w:val="both"/>
              <w:rPr>
                <w:rFonts w:eastAsia="Calibri" w:cs="Arial"/>
              </w:rPr>
            </w:pPr>
            <w:r>
              <w:rPr>
                <w:rFonts w:eastAsia="Calibri" w:cs="Arial"/>
              </w:rPr>
              <w:t>Backlog maintenance works</w:t>
            </w:r>
            <w:r w:rsidR="005B1523">
              <w:rPr>
                <w:rFonts w:eastAsia="Calibri" w:cs="Arial"/>
              </w:rPr>
              <w:t xml:space="preserve"> have begun, and indications are that the SFC ha</w:t>
            </w:r>
            <w:r w:rsidR="00715000">
              <w:rPr>
                <w:rFonts w:eastAsia="Calibri" w:cs="Arial"/>
              </w:rPr>
              <w:t>s</w:t>
            </w:r>
            <w:r w:rsidR="005B1523">
              <w:rPr>
                <w:rFonts w:eastAsia="Calibri" w:cs="Arial"/>
              </w:rPr>
              <w:t xml:space="preserve"> </w:t>
            </w:r>
            <w:r w:rsidR="00063259">
              <w:rPr>
                <w:rFonts w:eastAsia="Calibri" w:cs="Arial"/>
              </w:rPr>
              <w:t xml:space="preserve">softened </w:t>
            </w:r>
            <w:r w:rsidR="00715000">
              <w:rPr>
                <w:rFonts w:eastAsia="Calibri" w:cs="Arial"/>
              </w:rPr>
              <w:t xml:space="preserve">its </w:t>
            </w:r>
            <w:r w:rsidR="00063259">
              <w:rPr>
                <w:rFonts w:eastAsia="Calibri" w:cs="Arial"/>
              </w:rPr>
              <w:t xml:space="preserve">approach to </w:t>
            </w:r>
            <w:r w:rsidR="00850C20">
              <w:rPr>
                <w:rFonts w:eastAsia="Calibri" w:cs="Arial"/>
              </w:rPr>
              <w:t xml:space="preserve">when this should be spent, therefore </w:t>
            </w:r>
            <w:r w:rsidR="00715000">
              <w:rPr>
                <w:rFonts w:eastAsia="Calibri" w:cs="Arial"/>
              </w:rPr>
              <w:t xml:space="preserve">reducing </w:t>
            </w:r>
            <w:r w:rsidR="00850C20">
              <w:rPr>
                <w:rFonts w:eastAsia="Calibri" w:cs="Arial"/>
              </w:rPr>
              <w:t xml:space="preserve">the risk of clawback. </w:t>
            </w:r>
            <w:r w:rsidR="00D276A3">
              <w:rPr>
                <w:rFonts w:eastAsia="Calibri" w:cs="Arial"/>
              </w:rPr>
              <w:t xml:space="preserve"> The COVID works project has been completed </w:t>
            </w:r>
            <w:r w:rsidR="00715000">
              <w:rPr>
                <w:rFonts w:eastAsia="Calibri" w:cs="Arial"/>
              </w:rPr>
              <w:t xml:space="preserve">- </w:t>
            </w:r>
            <w:r w:rsidR="00D276A3">
              <w:rPr>
                <w:rFonts w:eastAsia="Calibri" w:cs="Arial"/>
              </w:rPr>
              <w:t xml:space="preserve">aimed at increasing </w:t>
            </w:r>
            <w:r w:rsidR="0022708C">
              <w:rPr>
                <w:rFonts w:eastAsia="Calibri" w:cs="Arial"/>
              </w:rPr>
              <w:t xml:space="preserve">and improving teaching spaces. </w:t>
            </w:r>
          </w:p>
          <w:p w14:paraId="29F49646" w14:textId="166FBD57" w:rsidR="00661E86" w:rsidRDefault="00E917BA" w:rsidP="00556320">
            <w:pPr>
              <w:pStyle w:val="ListParagraph"/>
              <w:numPr>
                <w:ilvl w:val="0"/>
                <w:numId w:val="3"/>
              </w:numPr>
              <w:spacing w:after="0" w:line="240" w:lineRule="auto"/>
              <w:jc w:val="both"/>
              <w:rPr>
                <w:rFonts w:eastAsia="Calibri" w:cs="Arial"/>
              </w:rPr>
            </w:pPr>
            <w:r>
              <w:rPr>
                <w:rFonts w:eastAsia="Calibri" w:cs="Arial"/>
              </w:rPr>
              <w:t>Cyber-attacks</w:t>
            </w:r>
            <w:r w:rsidR="00661E86">
              <w:rPr>
                <w:rFonts w:eastAsia="Calibri" w:cs="Arial"/>
              </w:rPr>
              <w:t xml:space="preserve"> appear to be more prevalent in the sector</w:t>
            </w:r>
            <w:r>
              <w:rPr>
                <w:rFonts w:eastAsia="Calibri" w:cs="Arial"/>
              </w:rPr>
              <w:t xml:space="preserve">, however SLC has appropriate protection and training in place. </w:t>
            </w:r>
          </w:p>
          <w:p w14:paraId="74F51EFB" w14:textId="4E897E4B" w:rsidR="00850C20" w:rsidRDefault="00850C20" w:rsidP="00556320">
            <w:pPr>
              <w:pStyle w:val="ListParagraph"/>
              <w:numPr>
                <w:ilvl w:val="0"/>
                <w:numId w:val="3"/>
              </w:numPr>
              <w:spacing w:after="0" w:line="240" w:lineRule="auto"/>
              <w:jc w:val="both"/>
              <w:rPr>
                <w:rFonts w:eastAsia="Calibri" w:cs="Arial"/>
              </w:rPr>
            </w:pPr>
            <w:r>
              <w:rPr>
                <w:rFonts w:eastAsia="Calibri" w:cs="Arial"/>
              </w:rPr>
              <w:t xml:space="preserve">2019-20 Performance Indicators </w:t>
            </w:r>
            <w:r w:rsidR="00427052">
              <w:rPr>
                <w:rFonts w:eastAsia="Calibri" w:cs="Arial"/>
              </w:rPr>
              <w:t xml:space="preserve">(see Annex A) </w:t>
            </w:r>
            <w:r>
              <w:rPr>
                <w:rFonts w:eastAsia="Calibri" w:cs="Arial"/>
              </w:rPr>
              <w:t>were published</w:t>
            </w:r>
            <w:r w:rsidR="00427052">
              <w:rPr>
                <w:rFonts w:eastAsia="Calibri" w:cs="Arial"/>
              </w:rPr>
              <w:t>.  T</w:t>
            </w:r>
            <w:r w:rsidR="00843136">
              <w:rPr>
                <w:rFonts w:eastAsia="Calibri" w:cs="Arial"/>
              </w:rPr>
              <w:t xml:space="preserve">he </w:t>
            </w:r>
            <w:r w:rsidR="004A3276">
              <w:rPr>
                <w:rFonts w:eastAsia="Calibri" w:cs="Arial"/>
              </w:rPr>
              <w:t xml:space="preserve">college performed well, however 2020-21 </w:t>
            </w:r>
            <w:r w:rsidR="00D9180F">
              <w:rPr>
                <w:rFonts w:eastAsia="Calibri" w:cs="Arial"/>
              </w:rPr>
              <w:t xml:space="preserve">overall </w:t>
            </w:r>
            <w:r w:rsidR="004A3276">
              <w:rPr>
                <w:rFonts w:eastAsia="Calibri" w:cs="Arial"/>
              </w:rPr>
              <w:t xml:space="preserve">attainment will be lower </w:t>
            </w:r>
            <w:r w:rsidR="00D9180F">
              <w:rPr>
                <w:rFonts w:eastAsia="Calibri" w:cs="Arial"/>
              </w:rPr>
              <w:t xml:space="preserve">due to FE FT provision. </w:t>
            </w:r>
          </w:p>
          <w:p w14:paraId="6A02676B" w14:textId="590F8098" w:rsidR="00154714" w:rsidRPr="00F204E8" w:rsidRDefault="00154714" w:rsidP="00556320">
            <w:pPr>
              <w:pStyle w:val="ListParagraph"/>
              <w:numPr>
                <w:ilvl w:val="0"/>
                <w:numId w:val="3"/>
              </w:numPr>
              <w:spacing w:after="0" w:line="240" w:lineRule="auto"/>
              <w:jc w:val="both"/>
              <w:rPr>
                <w:rFonts w:eastAsia="Calibri" w:cs="Arial"/>
              </w:rPr>
            </w:pPr>
            <w:r w:rsidRPr="00F204E8">
              <w:rPr>
                <w:rFonts w:eastAsia="MS Mincho" w:cs="Times New Roman"/>
                <w:iCs/>
                <w:szCs w:val="20"/>
              </w:rPr>
              <w:t>SLC has</w:t>
            </w:r>
            <w:r w:rsidR="00DF33C8" w:rsidRPr="00F204E8">
              <w:rPr>
                <w:rFonts w:eastAsia="MS Mincho" w:cs="Times New Roman"/>
                <w:iCs/>
                <w:szCs w:val="20"/>
              </w:rPr>
              <w:t xml:space="preserve"> been successful </w:t>
            </w:r>
            <w:r w:rsidR="00D47BC2" w:rsidRPr="00F204E8">
              <w:rPr>
                <w:rFonts w:eastAsia="MS Mincho" w:cs="Times New Roman"/>
                <w:iCs/>
                <w:szCs w:val="20"/>
              </w:rPr>
              <w:t>as one</w:t>
            </w:r>
            <w:r w:rsidR="00BE4CA3" w:rsidRPr="00F204E8">
              <w:rPr>
                <w:rFonts w:eastAsia="MS Mincho" w:cs="Times New Roman"/>
                <w:iCs/>
                <w:szCs w:val="20"/>
              </w:rPr>
              <w:t xml:space="preserve"> of the </w:t>
            </w:r>
            <w:r w:rsidR="00DF33C8" w:rsidRPr="00F204E8">
              <w:rPr>
                <w:rFonts w:eastAsia="MS Mincho" w:cs="Times New Roman"/>
                <w:iCs/>
                <w:szCs w:val="20"/>
              </w:rPr>
              <w:t xml:space="preserve">four </w:t>
            </w:r>
            <w:r w:rsidR="00E72225" w:rsidRPr="00F204E8">
              <w:rPr>
                <w:rFonts w:eastAsia="MS Mincho" w:cs="Times New Roman"/>
                <w:iCs/>
                <w:szCs w:val="20"/>
              </w:rPr>
              <w:t>Scottish institutions</w:t>
            </w:r>
            <w:r w:rsidRPr="00F204E8">
              <w:rPr>
                <w:rFonts w:eastAsia="MS Mincho" w:cs="Times New Roman"/>
                <w:iCs/>
                <w:szCs w:val="20"/>
              </w:rPr>
              <w:t xml:space="preserve"> to be involved in a pilot for </w:t>
            </w:r>
            <w:r w:rsidR="00F204E8" w:rsidRPr="00F204E8">
              <w:rPr>
                <w:rFonts w:eastAsia="MS Mincho" w:cs="Times New Roman"/>
                <w:iCs/>
                <w:szCs w:val="20"/>
              </w:rPr>
              <w:t xml:space="preserve">tackling </w:t>
            </w:r>
            <w:r w:rsidR="00E71685" w:rsidRPr="00F204E8">
              <w:rPr>
                <w:rFonts w:eastAsia="MS Mincho" w:cs="Times New Roman"/>
                <w:iCs/>
                <w:szCs w:val="20"/>
              </w:rPr>
              <w:t>gender-based</w:t>
            </w:r>
            <w:r w:rsidR="00F204E8" w:rsidRPr="00F204E8">
              <w:rPr>
                <w:rFonts w:eastAsia="MS Mincho" w:cs="Times New Roman"/>
                <w:iCs/>
                <w:szCs w:val="20"/>
              </w:rPr>
              <w:t xml:space="preserve"> violence</w:t>
            </w:r>
            <w:r w:rsidR="00D47BC2">
              <w:rPr>
                <w:rFonts w:eastAsia="MS Mincho" w:cs="Times New Roman"/>
                <w:iCs/>
                <w:szCs w:val="20"/>
              </w:rPr>
              <w:t xml:space="preserve"> in partnership with the charity </w:t>
            </w:r>
            <w:proofErr w:type="gramStart"/>
            <w:r w:rsidR="00D47BC2">
              <w:rPr>
                <w:rFonts w:eastAsia="MS Mincho" w:cs="Times New Roman"/>
                <w:iCs/>
                <w:szCs w:val="20"/>
              </w:rPr>
              <w:t>EmilyTest</w:t>
            </w:r>
            <w:proofErr w:type="gramEnd"/>
            <w:r w:rsidR="00D47BC2">
              <w:rPr>
                <w:rFonts w:eastAsia="MS Mincho" w:cs="Times New Roman"/>
                <w:iCs/>
                <w:szCs w:val="20"/>
              </w:rPr>
              <w:t xml:space="preserve"> </w:t>
            </w:r>
          </w:p>
          <w:p w14:paraId="1BB226D8" w14:textId="4FB90798" w:rsidR="00556320" w:rsidRDefault="00DF33C8" w:rsidP="00556320">
            <w:pPr>
              <w:pStyle w:val="ListParagraph"/>
              <w:numPr>
                <w:ilvl w:val="0"/>
                <w:numId w:val="3"/>
              </w:numPr>
              <w:spacing w:after="0" w:line="240" w:lineRule="auto"/>
              <w:jc w:val="both"/>
              <w:rPr>
                <w:rFonts w:eastAsia="Calibri" w:cs="Arial"/>
              </w:rPr>
            </w:pPr>
            <w:r>
              <w:rPr>
                <w:rFonts w:eastAsia="Calibri" w:cs="Arial"/>
              </w:rPr>
              <w:t xml:space="preserve"> </w:t>
            </w:r>
            <w:r w:rsidR="00556320">
              <w:rPr>
                <w:rFonts w:eastAsia="Calibri" w:cs="Arial"/>
              </w:rPr>
              <w:t xml:space="preserve">The college is firmly focussed on staff and student well-being </w:t>
            </w:r>
            <w:r w:rsidR="0048318B">
              <w:rPr>
                <w:rFonts w:eastAsia="Calibri" w:cs="Arial"/>
              </w:rPr>
              <w:t>and cont</w:t>
            </w:r>
            <w:r w:rsidR="00362BD1">
              <w:rPr>
                <w:rFonts w:eastAsia="Calibri" w:cs="Arial"/>
              </w:rPr>
              <w:t>inues to reinforce health and safety measures</w:t>
            </w:r>
            <w:r w:rsidR="00635637">
              <w:rPr>
                <w:rFonts w:eastAsia="Calibri" w:cs="Arial"/>
              </w:rPr>
              <w:t xml:space="preserve">. </w:t>
            </w:r>
            <w:r w:rsidR="006B2FD9">
              <w:rPr>
                <w:rFonts w:eastAsia="Calibri" w:cs="Arial"/>
              </w:rPr>
              <w:t xml:space="preserve"> </w:t>
            </w:r>
            <w:r w:rsidR="00635637">
              <w:rPr>
                <w:rFonts w:eastAsia="Calibri" w:cs="Arial"/>
              </w:rPr>
              <w:t xml:space="preserve">Staff are on campus </w:t>
            </w:r>
            <w:r w:rsidR="006402EF">
              <w:rPr>
                <w:rFonts w:eastAsia="Calibri" w:cs="Arial"/>
              </w:rPr>
              <w:t>on a rota basis</w:t>
            </w:r>
            <w:r w:rsidR="00AF1EE3">
              <w:rPr>
                <w:rFonts w:eastAsia="Calibri" w:cs="Arial"/>
              </w:rPr>
              <w:t xml:space="preserve">. </w:t>
            </w:r>
          </w:p>
          <w:p w14:paraId="0A61AB82" w14:textId="632B8652" w:rsidR="006402EF" w:rsidRDefault="006402EF" w:rsidP="00556320">
            <w:pPr>
              <w:pStyle w:val="ListParagraph"/>
              <w:numPr>
                <w:ilvl w:val="0"/>
                <w:numId w:val="3"/>
              </w:numPr>
              <w:spacing w:after="0" w:line="240" w:lineRule="auto"/>
              <w:jc w:val="both"/>
              <w:rPr>
                <w:rFonts w:eastAsia="Calibri" w:cs="Arial"/>
              </w:rPr>
            </w:pPr>
            <w:r>
              <w:rPr>
                <w:rFonts w:eastAsia="Calibri" w:cs="Arial"/>
              </w:rPr>
              <w:t xml:space="preserve">The HSE Organisational Stress Risk Assessment </w:t>
            </w:r>
            <w:r w:rsidR="00AF1EE3">
              <w:rPr>
                <w:rFonts w:eastAsia="Calibri" w:cs="Arial"/>
              </w:rPr>
              <w:t>was launched</w:t>
            </w:r>
            <w:r w:rsidR="00652FFC">
              <w:rPr>
                <w:rFonts w:eastAsia="Calibri" w:cs="Arial"/>
              </w:rPr>
              <w:t xml:space="preserve"> and is being d</w:t>
            </w:r>
            <w:r w:rsidR="006B2FD9">
              <w:rPr>
                <w:rFonts w:eastAsia="Calibri" w:cs="Arial"/>
              </w:rPr>
              <w:t xml:space="preserve">elivered </w:t>
            </w:r>
            <w:r w:rsidR="000110FD">
              <w:rPr>
                <w:rFonts w:eastAsia="Calibri" w:cs="Arial"/>
              </w:rPr>
              <w:t xml:space="preserve">in partnership with </w:t>
            </w:r>
            <w:r w:rsidR="00652FFC">
              <w:rPr>
                <w:rFonts w:eastAsia="Calibri" w:cs="Arial"/>
              </w:rPr>
              <w:t xml:space="preserve">an </w:t>
            </w:r>
            <w:r w:rsidR="00652FFC">
              <w:rPr>
                <w:rFonts w:eastAsia="Calibri" w:cs="Arial"/>
              </w:rPr>
              <w:lastRenderedPageBreak/>
              <w:t xml:space="preserve">external </w:t>
            </w:r>
            <w:r w:rsidR="000110FD">
              <w:rPr>
                <w:rFonts w:eastAsia="Calibri" w:cs="Arial"/>
              </w:rPr>
              <w:t xml:space="preserve">organisation to aid anonymity </w:t>
            </w:r>
            <w:r w:rsidR="00C506F8">
              <w:rPr>
                <w:rFonts w:eastAsia="Calibri" w:cs="Arial"/>
              </w:rPr>
              <w:t xml:space="preserve">as well as to allow us to reach out individually to gain further insight. </w:t>
            </w:r>
            <w:r w:rsidR="00BF09CE">
              <w:rPr>
                <w:rFonts w:eastAsia="Calibri" w:cs="Arial"/>
              </w:rPr>
              <w:t xml:space="preserve"> </w:t>
            </w:r>
            <w:r w:rsidR="004D7AB7">
              <w:rPr>
                <w:rFonts w:eastAsia="Calibri" w:cs="Arial"/>
              </w:rPr>
              <w:t xml:space="preserve">Return rate was high at 83%. </w:t>
            </w:r>
          </w:p>
          <w:p w14:paraId="1C88DBAD" w14:textId="37CDAC1A" w:rsidR="00556320" w:rsidRDefault="00556320" w:rsidP="00556320">
            <w:pPr>
              <w:pStyle w:val="ListParagraph"/>
              <w:numPr>
                <w:ilvl w:val="0"/>
                <w:numId w:val="3"/>
              </w:numPr>
              <w:spacing w:after="0" w:line="240" w:lineRule="auto"/>
              <w:jc w:val="both"/>
              <w:rPr>
                <w:rFonts w:eastAsia="Calibri" w:cs="Arial"/>
              </w:rPr>
            </w:pPr>
            <w:r>
              <w:rPr>
                <w:rFonts w:eastAsia="Calibri" w:cs="Arial"/>
              </w:rPr>
              <w:t>Applications are lower tha</w:t>
            </w:r>
            <w:r w:rsidR="00450CC5">
              <w:rPr>
                <w:rFonts w:eastAsia="Calibri" w:cs="Arial"/>
              </w:rPr>
              <w:t xml:space="preserve">n </w:t>
            </w:r>
            <w:r w:rsidR="00E72225">
              <w:rPr>
                <w:rFonts w:eastAsia="Calibri" w:cs="Arial"/>
              </w:rPr>
              <w:t>currently</w:t>
            </w:r>
            <w:r w:rsidR="00450CC5">
              <w:rPr>
                <w:rFonts w:eastAsia="Calibri" w:cs="Arial"/>
              </w:rPr>
              <w:t xml:space="preserve"> last yea</w:t>
            </w:r>
            <w:r w:rsidR="00866315">
              <w:rPr>
                <w:rFonts w:eastAsia="Calibri" w:cs="Arial"/>
              </w:rPr>
              <w:t>r</w:t>
            </w:r>
            <w:r w:rsidR="00BF09CE">
              <w:rPr>
                <w:rFonts w:eastAsia="Calibri" w:cs="Arial"/>
              </w:rPr>
              <w:t xml:space="preserve"> -</w:t>
            </w:r>
            <w:r w:rsidR="00753CD3">
              <w:rPr>
                <w:rFonts w:eastAsia="Calibri" w:cs="Arial"/>
              </w:rPr>
              <w:t xml:space="preserve"> </w:t>
            </w:r>
            <w:r w:rsidR="00450CC5">
              <w:rPr>
                <w:rFonts w:eastAsia="Calibri" w:cs="Arial"/>
              </w:rPr>
              <w:t>16% down</w:t>
            </w:r>
            <w:r w:rsidR="00BF09CE">
              <w:rPr>
                <w:rFonts w:eastAsia="Calibri" w:cs="Arial"/>
              </w:rPr>
              <w:t xml:space="preserve"> with </w:t>
            </w:r>
            <w:r w:rsidR="00C700DF">
              <w:rPr>
                <w:rFonts w:eastAsia="Calibri" w:cs="Arial"/>
              </w:rPr>
              <w:t xml:space="preserve">PT courses slower to recruit. </w:t>
            </w:r>
            <w:r w:rsidR="0058308A">
              <w:rPr>
                <w:rFonts w:eastAsia="Calibri" w:cs="Arial"/>
              </w:rPr>
              <w:t xml:space="preserve"> </w:t>
            </w:r>
            <w:r w:rsidR="00450CC5">
              <w:rPr>
                <w:rFonts w:eastAsia="Calibri" w:cs="Arial"/>
              </w:rPr>
              <w:t xml:space="preserve"> </w:t>
            </w:r>
          </w:p>
          <w:p w14:paraId="5D005D32" w14:textId="4313F9F4" w:rsidR="00556320" w:rsidRDefault="001910A8" w:rsidP="00556320">
            <w:pPr>
              <w:pStyle w:val="ListParagraph"/>
              <w:numPr>
                <w:ilvl w:val="0"/>
                <w:numId w:val="3"/>
              </w:numPr>
              <w:spacing w:after="0" w:line="240" w:lineRule="auto"/>
              <w:jc w:val="both"/>
              <w:rPr>
                <w:rFonts w:eastAsia="Calibri" w:cs="Arial"/>
              </w:rPr>
            </w:pPr>
            <w:r>
              <w:rPr>
                <w:rFonts w:eastAsia="Calibri" w:cs="Arial"/>
              </w:rPr>
              <w:t xml:space="preserve">Consideration progressing in relation to a refresh of our marketing and brand </w:t>
            </w:r>
            <w:r w:rsidR="00905C80">
              <w:rPr>
                <w:rFonts w:eastAsia="Calibri" w:cs="Arial"/>
              </w:rPr>
              <w:t>awareness and</w:t>
            </w:r>
            <w:r>
              <w:rPr>
                <w:rFonts w:eastAsia="Calibri" w:cs="Arial"/>
              </w:rPr>
              <w:t xml:space="preserve"> associated re-build of our w</w:t>
            </w:r>
            <w:r w:rsidR="004D7AB7">
              <w:rPr>
                <w:rFonts w:eastAsia="Calibri" w:cs="Arial"/>
              </w:rPr>
              <w:t xml:space="preserve">ebsite. </w:t>
            </w:r>
          </w:p>
          <w:p w14:paraId="0D6BB66F" w14:textId="042B9D38" w:rsidR="004D7AB7" w:rsidRDefault="00755B9A" w:rsidP="00556320">
            <w:pPr>
              <w:pStyle w:val="ListParagraph"/>
              <w:numPr>
                <w:ilvl w:val="0"/>
                <w:numId w:val="3"/>
              </w:numPr>
              <w:spacing w:after="0" w:line="240" w:lineRule="auto"/>
              <w:jc w:val="both"/>
              <w:rPr>
                <w:rFonts w:eastAsia="Calibri" w:cs="Arial"/>
              </w:rPr>
            </w:pPr>
            <w:r>
              <w:rPr>
                <w:rFonts w:eastAsia="Calibri" w:cs="Arial"/>
              </w:rPr>
              <w:t>Press releases</w:t>
            </w:r>
            <w:r w:rsidR="00905C80">
              <w:rPr>
                <w:rFonts w:eastAsia="Calibri" w:cs="Arial"/>
              </w:rPr>
              <w:t xml:space="preserve"> and staff newsletters</w:t>
            </w:r>
            <w:r>
              <w:rPr>
                <w:rFonts w:eastAsia="Calibri" w:cs="Arial"/>
              </w:rPr>
              <w:t xml:space="preserve"> have been shared with Board members to demonstrate the </w:t>
            </w:r>
            <w:r w:rsidR="00654399">
              <w:rPr>
                <w:rFonts w:eastAsia="Calibri" w:cs="Arial"/>
              </w:rPr>
              <w:t xml:space="preserve">continued positive engagement to date. </w:t>
            </w:r>
          </w:p>
          <w:p w14:paraId="49603FF5" w14:textId="63718859" w:rsidR="00654399" w:rsidRPr="00A01F40" w:rsidRDefault="00654399" w:rsidP="00556320">
            <w:pPr>
              <w:pStyle w:val="ListParagraph"/>
              <w:numPr>
                <w:ilvl w:val="0"/>
                <w:numId w:val="3"/>
              </w:numPr>
              <w:spacing w:after="0" w:line="240" w:lineRule="auto"/>
              <w:jc w:val="both"/>
              <w:rPr>
                <w:rFonts w:eastAsia="Calibri" w:cs="Arial"/>
              </w:rPr>
            </w:pPr>
            <w:r>
              <w:rPr>
                <w:rFonts w:eastAsia="Calibri" w:cs="Arial"/>
              </w:rPr>
              <w:t xml:space="preserve">Lord McConnell to visit and launch our External Wall </w:t>
            </w:r>
            <w:r w:rsidR="00F146CD">
              <w:rPr>
                <w:rFonts w:eastAsia="Calibri" w:cs="Arial"/>
              </w:rPr>
              <w:t>Insulation</w:t>
            </w:r>
            <w:r>
              <w:rPr>
                <w:rFonts w:eastAsia="Calibri" w:cs="Arial"/>
              </w:rPr>
              <w:t xml:space="preserve"> </w:t>
            </w:r>
            <w:r w:rsidR="00F146CD">
              <w:rPr>
                <w:rFonts w:eastAsia="Calibri" w:cs="Arial"/>
              </w:rPr>
              <w:t>A</w:t>
            </w:r>
            <w:r>
              <w:rPr>
                <w:rFonts w:eastAsia="Calibri" w:cs="Arial"/>
              </w:rPr>
              <w:t xml:space="preserve">cademy on 11 June.  </w:t>
            </w:r>
          </w:p>
        </w:tc>
      </w:tr>
    </w:tbl>
    <w:p w14:paraId="0446CFC6" w14:textId="77777777" w:rsidR="00556320" w:rsidRPr="00737387" w:rsidRDefault="00556320" w:rsidP="00556320">
      <w:pPr>
        <w:jc w:val="center"/>
        <w:rPr>
          <w:rFonts w:cs="Arial"/>
        </w:rPr>
      </w:pPr>
    </w:p>
    <w:p w14:paraId="2B9D8D3D" w14:textId="77777777" w:rsidR="00556320" w:rsidRDefault="00556320" w:rsidP="00556320">
      <w:pPr>
        <w:spacing w:after="160" w:line="259" w:lineRule="auto"/>
        <w:rPr>
          <w:rFonts w:cs="Arial"/>
        </w:rPr>
      </w:pPr>
      <w:r>
        <w:rPr>
          <w:rFonts w:cs="Arial"/>
        </w:rPr>
        <w:br w:type="page"/>
      </w:r>
    </w:p>
    <w:p w14:paraId="56401A60" w14:textId="77777777" w:rsidR="00556320" w:rsidRDefault="00556320" w:rsidP="00556320">
      <w:pPr>
        <w:pStyle w:val="ListParagraph"/>
        <w:numPr>
          <w:ilvl w:val="0"/>
          <w:numId w:val="1"/>
        </w:numPr>
        <w:rPr>
          <w:rFonts w:cs="Arial"/>
          <w:b/>
          <w:bCs/>
        </w:rPr>
      </w:pPr>
      <w:r w:rsidRPr="00084712">
        <w:rPr>
          <w:rFonts w:cs="Arial"/>
          <w:b/>
          <w:bCs/>
        </w:rPr>
        <w:lastRenderedPageBreak/>
        <w:t>INTRODUCTION</w:t>
      </w:r>
    </w:p>
    <w:p w14:paraId="7440BE12" w14:textId="77777777" w:rsidR="00556320" w:rsidRPr="00447DE7" w:rsidRDefault="00556320" w:rsidP="00556320">
      <w:pPr>
        <w:pStyle w:val="ListParagraph"/>
        <w:ind w:left="360"/>
        <w:rPr>
          <w:rFonts w:cs="Arial"/>
        </w:rPr>
      </w:pPr>
    </w:p>
    <w:p w14:paraId="72C8B9A3" w14:textId="3EF8645E" w:rsidR="00556320" w:rsidRDefault="00556320" w:rsidP="00556320">
      <w:pPr>
        <w:pStyle w:val="ListParagraph"/>
        <w:numPr>
          <w:ilvl w:val="1"/>
          <w:numId w:val="1"/>
        </w:numPr>
        <w:spacing w:line="240" w:lineRule="auto"/>
        <w:rPr>
          <w:rFonts w:cs="Arial"/>
        </w:rPr>
      </w:pPr>
      <w:r w:rsidRPr="0097706C">
        <w:rPr>
          <w:rFonts w:cs="Arial"/>
        </w:rPr>
        <w:t xml:space="preserve">This paper </w:t>
      </w:r>
      <w:r>
        <w:rPr>
          <w:rFonts w:cs="Arial"/>
        </w:rPr>
        <w:t xml:space="preserve">provides </w:t>
      </w:r>
      <w:r w:rsidRPr="0097706C">
        <w:rPr>
          <w:rFonts w:cs="Arial"/>
        </w:rPr>
        <w:t xml:space="preserve">an overview of </w:t>
      </w:r>
      <w:r>
        <w:rPr>
          <w:rFonts w:cs="Arial"/>
        </w:rPr>
        <w:t>South Lanarkshire C</w:t>
      </w:r>
      <w:r w:rsidRPr="0097706C">
        <w:rPr>
          <w:rFonts w:cs="Arial"/>
        </w:rPr>
        <w:t>ollege</w:t>
      </w:r>
      <w:r>
        <w:rPr>
          <w:rFonts w:cs="Arial"/>
        </w:rPr>
        <w:t xml:space="preserve"> (SLC)</w:t>
      </w:r>
      <w:r w:rsidRPr="0097706C">
        <w:rPr>
          <w:rFonts w:cs="Arial"/>
        </w:rPr>
        <w:t xml:space="preserve"> </w:t>
      </w:r>
      <w:r>
        <w:rPr>
          <w:rFonts w:cs="Arial"/>
        </w:rPr>
        <w:t xml:space="preserve">business to date since </w:t>
      </w:r>
      <w:r w:rsidR="004E64D4">
        <w:rPr>
          <w:rFonts w:cs="Arial"/>
        </w:rPr>
        <w:t>March</w:t>
      </w:r>
      <w:r>
        <w:rPr>
          <w:rFonts w:cs="Arial"/>
        </w:rPr>
        <w:t xml:space="preserve"> 2021, aligned to our strategic priorities. </w:t>
      </w:r>
    </w:p>
    <w:p w14:paraId="1986A139" w14:textId="77777777" w:rsidR="00556320" w:rsidRPr="0097706C" w:rsidRDefault="00556320" w:rsidP="00556320">
      <w:pPr>
        <w:pStyle w:val="ListParagraph"/>
        <w:spacing w:line="240" w:lineRule="auto"/>
        <w:ind w:left="432"/>
        <w:rPr>
          <w:rFonts w:cs="Arial"/>
        </w:rPr>
      </w:pPr>
    </w:p>
    <w:p w14:paraId="5CE3B6B0" w14:textId="1AF479BA" w:rsidR="00556320" w:rsidRDefault="00556320" w:rsidP="00556320">
      <w:pPr>
        <w:pStyle w:val="ListParagraph"/>
        <w:numPr>
          <w:ilvl w:val="0"/>
          <w:numId w:val="1"/>
        </w:numPr>
        <w:rPr>
          <w:rFonts w:cs="Arial"/>
          <w:b/>
          <w:bCs/>
        </w:rPr>
      </w:pPr>
      <w:r>
        <w:rPr>
          <w:rFonts w:cs="Arial"/>
          <w:b/>
          <w:bCs/>
        </w:rPr>
        <w:t>SUSTAINABLE BEHAVIOURS: STAFF</w:t>
      </w:r>
      <w:r w:rsidR="00023C05">
        <w:rPr>
          <w:rFonts w:cs="Arial"/>
          <w:b/>
          <w:bCs/>
        </w:rPr>
        <w:t>,</w:t>
      </w:r>
      <w:r w:rsidR="00905C80">
        <w:rPr>
          <w:rFonts w:cs="Arial"/>
          <w:b/>
          <w:bCs/>
        </w:rPr>
        <w:t xml:space="preserve"> STUDENTS</w:t>
      </w:r>
    </w:p>
    <w:p w14:paraId="26E45382" w14:textId="77777777" w:rsidR="00556320" w:rsidRDefault="00556320" w:rsidP="00556320">
      <w:pPr>
        <w:pStyle w:val="ListParagraph"/>
        <w:ind w:left="360"/>
        <w:rPr>
          <w:rFonts w:cs="Arial"/>
          <w:b/>
          <w:bCs/>
        </w:rPr>
      </w:pPr>
    </w:p>
    <w:p w14:paraId="20646657" w14:textId="30416DFE" w:rsidR="00556320" w:rsidRDefault="00556320" w:rsidP="00556320">
      <w:pPr>
        <w:pStyle w:val="ListParagraph"/>
        <w:numPr>
          <w:ilvl w:val="1"/>
          <w:numId w:val="2"/>
        </w:numPr>
        <w:spacing w:line="240" w:lineRule="auto"/>
      </w:pPr>
      <w:r>
        <w:t xml:space="preserve"> </w:t>
      </w:r>
      <w:r w:rsidR="00AC24C3">
        <w:t>New staff - s</w:t>
      </w:r>
      <w:r>
        <w:t>ince the last Board meeting</w:t>
      </w:r>
      <w:r w:rsidR="000E0820">
        <w:t xml:space="preserve">, and </w:t>
      </w:r>
      <w:r w:rsidR="00B20351">
        <w:t>following a rigorous external recruitment process,</w:t>
      </w:r>
      <w:r>
        <w:t xml:space="preserve"> </w:t>
      </w:r>
      <w:r w:rsidR="004E64D4">
        <w:t xml:space="preserve">the college has appointed David Innes as the new Associate Principal of Construction and the Built Environment. </w:t>
      </w:r>
      <w:r w:rsidR="00B20351">
        <w:t xml:space="preserve">David is currently the </w:t>
      </w:r>
      <w:r w:rsidR="00A01C8D">
        <w:t>Associate</w:t>
      </w:r>
      <w:r w:rsidR="00B20351">
        <w:t xml:space="preserve"> Principal Engineering, </w:t>
      </w:r>
      <w:proofErr w:type="gramStart"/>
      <w:r w:rsidR="00B20351">
        <w:t>Computing</w:t>
      </w:r>
      <w:proofErr w:type="gramEnd"/>
      <w:r w:rsidR="00B20351">
        <w:t xml:space="preserve"> and the Built Environment at </w:t>
      </w:r>
      <w:r w:rsidR="00AA100E">
        <w:t>Glasgow Clyde College, and brings with him a wealth of knowledge and</w:t>
      </w:r>
      <w:r w:rsidR="00A01C8D">
        <w:t xml:space="preserve"> experience in that field. </w:t>
      </w:r>
    </w:p>
    <w:p w14:paraId="2EF0C77B" w14:textId="77777777" w:rsidR="00AC24C3" w:rsidRDefault="00AC24C3" w:rsidP="00AC24C3">
      <w:pPr>
        <w:pStyle w:val="ListParagraph"/>
        <w:spacing w:line="240" w:lineRule="auto"/>
        <w:ind w:left="360"/>
      </w:pPr>
    </w:p>
    <w:p w14:paraId="6F7288AC" w14:textId="0CE47F7C" w:rsidR="00023C05" w:rsidRDefault="00023C05" w:rsidP="00556320">
      <w:pPr>
        <w:pStyle w:val="ListParagraph"/>
        <w:numPr>
          <w:ilvl w:val="1"/>
          <w:numId w:val="2"/>
        </w:numPr>
        <w:spacing w:line="240" w:lineRule="auto"/>
      </w:pPr>
      <w:r>
        <w:t>Students – the College remained open for critical teaching, learning and assessment from January and we have, over recent weeks, been increasing the number of students</w:t>
      </w:r>
      <w:r w:rsidR="00AC24C3">
        <w:t xml:space="preserve">, and associated staff, on campus – entirely in line with Scottish Government guidance – with the ambition of concluding as many of our students as possible and reducing the number of students deferring into August 2021. </w:t>
      </w:r>
    </w:p>
    <w:p w14:paraId="46B6CF5A" w14:textId="77777777" w:rsidR="00556320" w:rsidRDefault="00556320" w:rsidP="00556320">
      <w:pPr>
        <w:pStyle w:val="ListParagraph"/>
        <w:spacing w:line="240" w:lineRule="auto"/>
        <w:ind w:left="360"/>
      </w:pPr>
    </w:p>
    <w:p w14:paraId="6E3D8EED" w14:textId="77777777" w:rsidR="00556320" w:rsidRPr="00352E66" w:rsidRDefault="00556320" w:rsidP="00556320">
      <w:pPr>
        <w:pStyle w:val="ListParagraph"/>
        <w:numPr>
          <w:ilvl w:val="0"/>
          <w:numId w:val="2"/>
        </w:numPr>
        <w:spacing w:line="240" w:lineRule="auto"/>
        <w:rPr>
          <w:b/>
          <w:bCs/>
        </w:rPr>
      </w:pPr>
      <w:r w:rsidRPr="00352E66">
        <w:rPr>
          <w:b/>
          <w:bCs/>
        </w:rPr>
        <w:t xml:space="preserve">SUSTAINABLE BEHAVIOURS: FINANCIAL SUSTAINABILITY </w:t>
      </w:r>
    </w:p>
    <w:p w14:paraId="0EC16A95" w14:textId="5925891B" w:rsidR="0078565C" w:rsidRPr="00352E66" w:rsidRDefault="00556320" w:rsidP="00556320">
      <w:pPr>
        <w:pStyle w:val="Bulletlist"/>
        <w:numPr>
          <w:ilvl w:val="1"/>
          <w:numId w:val="2"/>
        </w:numPr>
      </w:pPr>
      <w:r w:rsidRPr="00352E66">
        <w:t>The Finance Committee received an update indicating that the forecast outturn shows a projected deficit of £</w:t>
      </w:r>
      <w:r w:rsidR="00276A74" w:rsidRPr="00352E66">
        <w:t>253</w:t>
      </w:r>
      <w:r w:rsidR="00AC24C3">
        <w:t>k</w:t>
      </w:r>
      <w:r w:rsidR="00276A74" w:rsidRPr="00352E66">
        <w:t xml:space="preserve">, which </w:t>
      </w:r>
      <w:r w:rsidR="00201955" w:rsidRPr="00352E66">
        <w:t xml:space="preserve">has slightly </w:t>
      </w:r>
      <w:r w:rsidR="00103E30" w:rsidRPr="00352E66">
        <w:t>worsened</w:t>
      </w:r>
      <w:r w:rsidR="00201955" w:rsidRPr="00352E66">
        <w:t xml:space="preserve"> from the last update in March 2021 by </w:t>
      </w:r>
      <w:r w:rsidR="00012DC4" w:rsidRPr="00352E66">
        <w:t xml:space="preserve">£54k. </w:t>
      </w:r>
      <w:r w:rsidRPr="00352E66">
        <w:t xml:space="preserve">  </w:t>
      </w:r>
      <w:r w:rsidR="006842D7" w:rsidRPr="00352E66">
        <w:t xml:space="preserve">This is due to a higher than normal level of unpaid fees as well as </w:t>
      </w:r>
      <w:r w:rsidR="00280C4E" w:rsidRPr="00352E66">
        <w:t xml:space="preserve">payroll </w:t>
      </w:r>
      <w:r w:rsidR="0078565C" w:rsidRPr="00352E66">
        <w:t xml:space="preserve">continuing to run marginally over budget. </w:t>
      </w:r>
      <w:r w:rsidR="00EB6146" w:rsidRPr="00352E66">
        <w:t xml:space="preserve"> </w:t>
      </w:r>
    </w:p>
    <w:p w14:paraId="6603911B" w14:textId="70C6DDE7" w:rsidR="00E8120A" w:rsidRDefault="00556320" w:rsidP="00556320">
      <w:pPr>
        <w:pStyle w:val="Bulletlist"/>
        <w:numPr>
          <w:ilvl w:val="1"/>
          <w:numId w:val="2"/>
        </w:numPr>
      </w:pPr>
      <w:r w:rsidRPr="00352E66">
        <w:t xml:space="preserve"> </w:t>
      </w:r>
      <w:r w:rsidR="00971BB7" w:rsidRPr="00971BB7">
        <w:t>This deficit, which is £60k under what was anticipated in the original budget, is regarded as a worst-case scenario</w:t>
      </w:r>
      <w:r w:rsidR="00E8120A">
        <w:t>,</w:t>
      </w:r>
      <w:r w:rsidR="00971BB7" w:rsidRPr="00971BB7">
        <w:t xml:space="preserve"> and assumes that any additional funding (£379k) </w:t>
      </w:r>
      <w:r w:rsidR="00886C46">
        <w:t xml:space="preserve">received by the </w:t>
      </w:r>
      <w:r w:rsidR="00971BB7" w:rsidRPr="00971BB7">
        <w:t>college from the SFC to support with COVID related challenges in late March 2021</w:t>
      </w:r>
      <w:r w:rsidR="00E8120A">
        <w:t>,</w:t>
      </w:r>
      <w:r w:rsidR="00971BB7" w:rsidRPr="00971BB7">
        <w:t xml:space="preserve"> will be spent fully in the financial year.  Any underspend would be utilised to offset the deficit.  It was also noted that the College would be looking to match income received to </w:t>
      </w:r>
      <w:r w:rsidR="009972F4">
        <w:t xml:space="preserve">meet </w:t>
      </w:r>
      <w:r w:rsidR="00971BB7" w:rsidRPr="00971BB7">
        <w:t xml:space="preserve">any costs relating to where 2020/21 activity </w:t>
      </w:r>
      <w:r w:rsidR="00AA1C94" w:rsidRPr="00971BB7">
        <w:t>must</w:t>
      </w:r>
      <w:r w:rsidR="00971BB7" w:rsidRPr="00971BB7">
        <w:t xml:space="preserve"> be delivered in 2021/22, as far as </w:t>
      </w:r>
      <w:r w:rsidR="00957357">
        <w:t>possible</w:t>
      </w:r>
      <w:r w:rsidR="00E8120A">
        <w:t>.</w:t>
      </w:r>
    </w:p>
    <w:p w14:paraId="463B419E" w14:textId="0833D79D" w:rsidR="00556320" w:rsidRDefault="00556320" w:rsidP="00556320">
      <w:pPr>
        <w:pStyle w:val="Bulletlist"/>
        <w:numPr>
          <w:ilvl w:val="1"/>
          <w:numId w:val="2"/>
        </w:numPr>
      </w:pPr>
      <w:r w:rsidRPr="00352E66">
        <w:t xml:space="preserve">In addition, the college’s risk register has been updated, and further work will continue to be invested in </w:t>
      </w:r>
      <w:r w:rsidR="007B25EA">
        <w:t xml:space="preserve">risk management </w:t>
      </w:r>
      <w:r w:rsidRPr="00352E66">
        <w:t>to ensure regular review and responsive</w:t>
      </w:r>
      <w:r w:rsidR="007B25EA">
        <w:t>ness</w:t>
      </w:r>
      <w:r w:rsidRPr="00352E66">
        <w:t xml:space="preserve"> to the fast-changing external climate.</w:t>
      </w:r>
    </w:p>
    <w:p w14:paraId="37AE6F79" w14:textId="350F4943" w:rsidR="008B576A" w:rsidRDefault="005F7B54" w:rsidP="00556320">
      <w:pPr>
        <w:pStyle w:val="Bulletlist"/>
        <w:numPr>
          <w:ilvl w:val="1"/>
          <w:numId w:val="2"/>
        </w:numPr>
      </w:pPr>
      <w:r>
        <w:t xml:space="preserve">The final funding allocations for the 2021-22 academic year were published on 27 May 2021. </w:t>
      </w:r>
      <w:r w:rsidR="00EB5829">
        <w:t xml:space="preserve"> The overall </w:t>
      </w:r>
      <w:r w:rsidR="00D51C9A">
        <w:t xml:space="preserve">credit target including ESF, the new Foundation Apprenticeship credits and additional </w:t>
      </w:r>
      <w:r w:rsidR="00316978">
        <w:t xml:space="preserve">funding </w:t>
      </w:r>
      <w:r w:rsidR="00D51C9A">
        <w:t>for de</w:t>
      </w:r>
      <w:r w:rsidR="001A3B13">
        <w:t xml:space="preserve">ferred students has increased slightly by 2.6% in comparison to this year. </w:t>
      </w:r>
      <w:r w:rsidR="005B5ECA">
        <w:t xml:space="preserve"> </w:t>
      </w:r>
      <w:r w:rsidR="00084F6C">
        <w:t xml:space="preserve">Next steps are to meet with New College Lanarkshire to </w:t>
      </w:r>
      <w:r w:rsidR="00CA4F86">
        <w:t xml:space="preserve">agree the funding split. </w:t>
      </w:r>
      <w:r w:rsidR="0051365E">
        <w:t xml:space="preserve"> </w:t>
      </w:r>
      <w:r w:rsidR="003D545C">
        <w:t xml:space="preserve">Annex A provides </w:t>
      </w:r>
      <w:r w:rsidR="001A3B13">
        <w:t>a further breakdown and</w:t>
      </w:r>
      <w:r w:rsidR="0014320D">
        <w:t xml:space="preserve"> an</w:t>
      </w:r>
      <w:r w:rsidR="00BB283D">
        <w:t xml:space="preserve"> overview of the sector. </w:t>
      </w:r>
    </w:p>
    <w:p w14:paraId="6A511CE4" w14:textId="77777777" w:rsidR="00556320" w:rsidRPr="005D01C0" w:rsidRDefault="00556320" w:rsidP="00556320">
      <w:pPr>
        <w:pStyle w:val="Bulletlist"/>
      </w:pPr>
      <w:r w:rsidRPr="003D2585">
        <w:rPr>
          <w:b/>
          <w:bCs/>
        </w:rPr>
        <w:t>SUSTAINABLE BEHAVIOURS</w:t>
      </w:r>
      <w:r w:rsidRPr="003D2585">
        <w:t xml:space="preserve">: </w:t>
      </w:r>
      <w:r w:rsidRPr="003D2585">
        <w:rPr>
          <w:rFonts w:eastAsiaTheme="minorHAnsi" w:cstheme="minorBidi"/>
          <w:b/>
          <w:bCs/>
          <w:szCs w:val="22"/>
        </w:rPr>
        <w:t>FACILITIES AND ESTATES</w:t>
      </w:r>
      <w:r w:rsidRPr="003D2585">
        <w:rPr>
          <w:rFonts w:eastAsiaTheme="minorHAnsi" w:cstheme="minorBidi"/>
          <w:szCs w:val="22"/>
        </w:rPr>
        <w:t xml:space="preserve"> </w:t>
      </w:r>
    </w:p>
    <w:p w14:paraId="44CE5682" w14:textId="390B5AA4" w:rsidR="00556320" w:rsidRPr="003F1211" w:rsidRDefault="00556320" w:rsidP="003F1211">
      <w:pPr>
        <w:pStyle w:val="Bulletlist"/>
        <w:numPr>
          <w:ilvl w:val="0"/>
          <w:numId w:val="0"/>
        </w:numPr>
        <w:ind w:left="360"/>
        <w:rPr>
          <w:u w:val="single"/>
        </w:rPr>
      </w:pPr>
      <w:r w:rsidRPr="003F1211">
        <w:rPr>
          <w:u w:val="single"/>
        </w:rPr>
        <w:t xml:space="preserve">Backlog Maintenance Works </w:t>
      </w:r>
      <w:r w:rsidR="008A22CC" w:rsidRPr="003F1211">
        <w:rPr>
          <w:u w:val="single"/>
        </w:rPr>
        <w:t>Update</w:t>
      </w:r>
    </w:p>
    <w:p w14:paraId="4522E4EC" w14:textId="1D02B6A6" w:rsidR="00556320" w:rsidRDefault="003A7D0C" w:rsidP="006829A2">
      <w:pPr>
        <w:pStyle w:val="Bulletlist"/>
        <w:numPr>
          <w:ilvl w:val="1"/>
          <w:numId w:val="2"/>
        </w:numPr>
      </w:pPr>
      <w:r>
        <w:t xml:space="preserve">Equipment </w:t>
      </w:r>
      <w:r w:rsidR="00577085">
        <w:t>for this project has been delivered and the co</w:t>
      </w:r>
      <w:r w:rsidR="00887D3C">
        <w:t xml:space="preserve">ntractor has </w:t>
      </w:r>
      <w:r w:rsidR="00E159A2">
        <w:t>start</w:t>
      </w:r>
      <w:r w:rsidR="00887D3C">
        <w:t>ed</w:t>
      </w:r>
      <w:r w:rsidR="00E159A2">
        <w:t xml:space="preserve"> work</w:t>
      </w:r>
      <w:r w:rsidR="00F21857">
        <w:t xml:space="preserve"> on the air conditioning </w:t>
      </w:r>
      <w:r w:rsidR="00AA1C94">
        <w:t>system</w:t>
      </w:r>
      <w:r w:rsidR="00E159A2">
        <w:t>, focussing on areas, such as business support</w:t>
      </w:r>
      <w:r w:rsidR="00BA0E05">
        <w:t>,</w:t>
      </w:r>
      <w:r w:rsidR="00E159A2">
        <w:t xml:space="preserve"> that do not impac</w:t>
      </w:r>
      <w:r w:rsidR="006774B6">
        <w:t>t directly on students to</w:t>
      </w:r>
      <w:r w:rsidR="00887D3C">
        <w:t xml:space="preserve"> ensure no impact on teaching and learning at this critical time in the academic calendar.  </w:t>
      </w:r>
      <w:r w:rsidR="006774B6">
        <w:t xml:space="preserve"> </w:t>
      </w:r>
      <w:r w:rsidR="00F54F70">
        <w:t xml:space="preserve"> </w:t>
      </w:r>
    </w:p>
    <w:p w14:paraId="489C0740" w14:textId="6AAABC53" w:rsidR="006774B6" w:rsidRDefault="00082509" w:rsidP="00556320">
      <w:pPr>
        <w:pStyle w:val="Bulletlist"/>
        <w:numPr>
          <w:ilvl w:val="1"/>
          <w:numId w:val="2"/>
        </w:numPr>
      </w:pPr>
      <w:r>
        <w:t>Indications are that t</w:t>
      </w:r>
      <w:r w:rsidR="006774B6">
        <w:t>he SFC ha</w:t>
      </w:r>
      <w:r w:rsidR="001B4693">
        <w:t>s</w:t>
      </w:r>
      <w:r w:rsidR="006774B6">
        <w:t xml:space="preserve"> </w:t>
      </w:r>
      <w:r w:rsidR="00E53613">
        <w:t xml:space="preserve">softened </w:t>
      </w:r>
      <w:r w:rsidR="001B4693">
        <w:t xml:space="preserve">its </w:t>
      </w:r>
      <w:r w:rsidR="00E53613">
        <w:t xml:space="preserve">approach to when this funding </w:t>
      </w:r>
      <w:r w:rsidR="001B4693">
        <w:t xml:space="preserve">requires </w:t>
      </w:r>
      <w:r w:rsidR="00E53613">
        <w:t xml:space="preserve">to be spent, and the risk regarding clawback appears to have </w:t>
      </w:r>
      <w:r w:rsidR="001B4693">
        <w:t>reduced</w:t>
      </w:r>
      <w:r w:rsidR="00E53613">
        <w:t>.</w:t>
      </w:r>
    </w:p>
    <w:p w14:paraId="435AEFE3" w14:textId="5972BC9C" w:rsidR="00F21857" w:rsidRDefault="00053CBF" w:rsidP="00556320">
      <w:pPr>
        <w:pStyle w:val="Bulletlist"/>
        <w:numPr>
          <w:ilvl w:val="1"/>
          <w:numId w:val="2"/>
        </w:numPr>
      </w:pPr>
      <w:r>
        <w:lastRenderedPageBreak/>
        <w:t>T</w:t>
      </w:r>
      <w:r w:rsidR="00F21857">
        <w:t>he return to campus learning</w:t>
      </w:r>
      <w:r>
        <w:t xml:space="preserve"> project to create larger teaching spaces</w:t>
      </w:r>
      <w:r w:rsidR="00853960">
        <w:t xml:space="preserve"> has been completed</w:t>
      </w:r>
      <w:r w:rsidR="001E4F6A">
        <w:t>.  This w</w:t>
      </w:r>
      <w:r w:rsidR="00853960">
        <w:t xml:space="preserve">as funded from the SFC COVID monies. </w:t>
      </w:r>
    </w:p>
    <w:p w14:paraId="38452F13" w14:textId="5A03D23D" w:rsidR="005A15E2" w:rsidRDefault="005A15E2" w:rsidP="005A15E2">
      <w:pPr>
        <w:pStyle w:val="Bulletlist"/>
        <w:rPr>
          <w:b/>
          <w:bCs/>
        </w:rPr>
      </w:pPr>
      <w:r w:rsidRPr="00262BCB">
        <w:rPr>
          <w:b/>
          <w:bCs/>
        </w:rPr>
        <w:t xml:space="preserve">SUSTAINABLE BEHAVIOURS: </w:t>
      </w:r>
      <w:r w:rsidR="00262BCB" w:rsidRPr="00262BCB">
        <w:rPr>
          <w:b/>
          <w:bCs/>
        </w:rPr>
        <w:t>APPROPRIATE RISK MANAGEMENT</w:t>
      </w:r>
      <w:r w:rsidRPr="00262BCB">
        <w:rPr>
          <w:b/>
          <w:bCs/>
        </w:rPr>
        <w:t xml:space="preserve"> </w:t>
      </w:r>
    </w:p>
    <w:p w14:paraId="34A03304" w14:textId="018F7383" w:rsidR="001E4F6A" w:rsidRPr="00262BCB" w:rsidRDefault="001E4F6A" w:rsidP="001E4F6A">
      <w:pPr>
        <w:pStyle w:val="ListParagraph"/>
        <w:numPr>
          <w:ilvl w:val="1"/>
          <w:numId w:val="6"/>
        </w:numPr>
        <w:rPr>
          <w:rFonts w:eastAsia="MS Mincho" w:cs="Times New Roman"/>
          <w:b/>
          <w:bCs/>
          <w:iCs/>
          <w:szCs w:val="20"/>
        </w:rPr>
      </w:pPr>
      <w:r>
        <w:rPr>
          <w:rFonts w:eastAsia="MS Mincho" w:cs="Times New Roman"/>
          <w:iCs/>
          <w:szCs w:val="20"/>
        </w:rPr>
        <w:t>T</w:t>
      </w:r>
      <w:r w:rsidRPr="00262BCB">
        <w:rPr>
          <w:rFonts w:eastAsia="MS Mincho" w:cs="Times New Roman"/>
          <w:iCs/>
          <w:szCs w:val="20"/>
        </w:rPr>
        <w:t xml:space="preserve">he </w:t>
      </w:r>
      <w:r>
        <w:rPr>
          <w:rFonts w:eastAsia="MS Mincho" w:cs="Times New Roman"/>
          <w:iCs/>
          <w:szCs w:val="20"/>
        </w:rPr>
        <w:t>C</w:t>
      </w:r>
      <w:r w:rsidRPr="00262BCB">
        <w:rPr>
          <w:rFonts w:eastAsia="MS Mincho" w:cs="Times New Roman"/>
          <w:iCs/>
          <w:szCs w:val="20"/>
        </w:rPr>
        <w:t xml:space="preserve">ollege’s risk register </w:t>
      </w:r>
      <w:r>
        <w:rPr>
          <w:rFonts w:eastAsia="MS Mincho" w:cs="Times New Roman"/>
          <w:iCs/>
          <w:szCs w:val="20"/>
        </w:rPr>
        <w:t>is under review and has been</w:t>
      </w:r>
      <w:r w:rsidRPr="00262BCB">
        <w:rPr>
          <w:rFonts w:eastAsia="MS Mincho" w:cs="Times New Roman"/>
          <w:iCs/>
          <w:szCs w:val="20"/>
        </w:rPr>
        <w:t xml:space="preserve"> </w:t>
      </w:r>
      <w:r>
        <w:rPr>
          <w:rFonts w:eastAsia="MS Mincho" w:cs="Times New Roman"/>
          <w:iCs/>
          <w:szCs w:val="20"/>
        </w:rPr>
        <w:t xml:space="preserve">recently </w:t>
      </w:r>
      <w:r w:rsidRPr="00262BCB">
        <w:rPr>
          <w:rFonts w:eastAsia="MS Mincho" w:cs="Times New Roman"/>
          <w:iCs/>
          <w:szCs w:val="20"/>
        </w:rPr>
        <w:t>updated</w:t>
      </w:r>
      <w:r>
        <w:rPr>
          <w:rFonts w:eastAsia="MS Mincho" w:cs="Times New Roman"/>
          <w:iCs/>
          <w:szCs w:val="20"/>
        </w:rPr>
        <w:t>.  F</w:t>
      </w:r>
      <w:r w:rsidRPr="00262BCB">
        <w:rPr>
          <w:rFonts w:eastAsia="MS Mincho" w:cs="Times New Roman"/>
          <w:iCs/>
          <w:szCs w:val="20"/>
        </w:rPr>
        <w:t xml:space="preserve">urther work will continue to be invested in </w:t>
      </w:r>
      <w:r w:rsidR="00EF3527">
        <w:rPr>
          <w:rFonts w:eastAsia="MS Mincho" w:cs="Times New Roman"/>
          <w:iCs/>
          <w:szCs w:val="20"/>
        </w:rPr>
        <w:t xml:space="preserve">risk mitigation and management </w:t>
      </w:r>
      <w:r w:rsidRPr="00262BCB">
        <w:rPr>
          <w:rFonts w:eastAsia="MS Mincho" w:cs="Times New Roman"/>
          <w:iCs/>
          <w:szCs w:val="20"/>
        </w:rPr>
        <w:t xml:space="preserve">to ensure </w:t>
      </w:r>
      <w:r w:rsidR="00EF3527">
        <w:rPr>
          <w:rFonts w:eastAsia="MS Mincho" w:cs="Times New Roman"/>
          <w:iCs/>
          <w:szCs w:val="20"/>
        </w:rPr>
        <w:t xml:space="preserve">we remain </w:t>
      </w:r>
      <w:r w:rsidRPr="00262BCB">
        <w:rPr>
          <w:rFonts w:eastAsia="MS Mincho" w:cs="Times New Roman"/>
          <w:iCs/>
          <w:szCs w:val="20"/>
        </w:rPr>
        <w:t>responsive to the fast-changing external climate</w:t>
      </w:r>
      <w:r w:rsidRPr="00262BCB">
        <w:rPr>
          <w:rFonts w:eastAsia="MS Mincho" w:cs="Times New Roman"/>
          <w:b/>
          <w:bCs/>
          <w:iCs/>
          <w:szCs w:val="20"/>
        </w:rPr>
        <w:t>.</w:t>
      </w:r>
    </w:p>
    <w:p w14:paraId="186B6AD5" w14:textId="0C1F2BA6" w:rsidR="00FE4C16" w:rsidRDefault="00EF3527" w:rsidP="0096231F">
      <w:pPr>
        <w:pStyle w:val="Bulletlist"/>
        <w:numPr>
          <w:ilvl w:val="1"/>
          <w:numId w:val="6"/>
        </w:numPr>
      </w:pPr>
      <w:r>
        <w:t xml:space="preserve">A key current risk relates to cyber security.  </w:t>
      </w:r>
      <w:r w:rsidR="001E3FC9">
        <w:t xml:space="preserve">Educational institutions such as Glasgow Caledonian University and City of Glasgow College have been subject to recent </w:t>
      </w:r>
      <w:r w:rsidR="001837C9">
        <w:t>cyber-attacks</w:t>
      </w:r>
      <w:r w:rsidR="001E3FC9">
        <w:t xml:space="preserve">. </w:t>
      </w:r>
      <w:r w:rsidR="001837C9">
        <w:t xml:space="preserve"> </w:t>
      </w:r>
      <w:r w:rsidR="001E3FC9" w:rsidRPr="001E3FC9">
        <w:t xml:space="preserve">We are currently working in line with the guidance </w:t>
      </w:r>
      <w:r w:rsidR="00B572E0">
        <w:t xml:space="preserve">from </w:t>
      </w:r>
      <w:r w:rsidR="001E3FC9" w:rsidRPr="001E3FC9">
        <w:t>HEFESTIS</w:t>
      </w:r>
      <w:r w:rsidR="006C270A">
        <w:t>, a not for profit shared service organisation owned jointly by</w:t>
      </w:r>
      <w:r w:rsidR="00B572E0">
        <w:t xml:space="preserve"> member institutions across the Scottish university and college sectors, </w:t>
      </w:r>
      <w:r w:rsidR="001E3FC9" w:rsidRPr="001E3FC9">
        <w:t xml:space="preserve"> </w:t>
      </w:r>
      <w:r w:rsidR="00C16931">
        <w:t xml:space="preserve">JISC </w:t>
      </w:r>
      <w:r w:rsidR="001E3FC9" w:rsidRPr="001E3FC9">
        <w:t>and the Scottish Government</w:t>
      </w:r>
      <w:r w:rsidR="00F05829">
        <w:t>’s Framework for a Cyber Resilient Scotland</w:t>
      </w:r>
      <w:r w:rsidR="009270C8">
        <w:t>,</w:t>
      </w:r>
      <w:r w:rsidR="001E3FC9" w:rsidRPr="001E3FC9">
        <w:t xml:space="preserve"> to maintain and monitor the threats to education IT infrastructure on a daily basis. </w:t>
      </w:r>
      <w:r w:rsidR="008729CE">
        <w:t xml:space="preserve"> </w:t>
      </w:r>
    </w:p>
    <w:p w14:paraId="64905361" w14:textId="2D7B1406" w:rsidR="00262BCB" w:rsidRPr="00262BCB" w:rsidRDefault="008729CE" w:rsidP="0096231F">
      <w:pPr>
        <w:pStyle w:val="Bulletlist"/>
        <w:numPr>
          <w:ilvl w:val="1"/>
          <w:numId w:val="6"/>
        </w:numPr>
      </w:pPr>
      <w:r>
        <w:t xml:space="preserve">In </w:t>
      </w:r>
      <w:r w:rsidR="00012A8B">
        <w:t>addition, our</w:t>
      </w:r>
      <w:r w:rsidR="00D108E9">
        <w:t xml:space="preserve"> IT team receive</w:t>
      </w:r>
      <w:r w:rsidR="00F05829">
        <w:t>s</w:t>
      </w:r>
      <w:r w:rsidR="00D108E9">
        <w:t xml:space="preserve"> further intelligence from their sector groups on any recent </w:t>
      </w:r>
      <w:r w:rsidR="001E3FC9" w:rsidRPr="001E3FC9">
        <w:t xml:space="preserve">attacks </w:t>
      </w:r>
      <w:r w:rsidR="00D108E9">
        <w:t xml:space="preserve">and </w:t>
      </w:r>
      <w:r w:rsidR="001E3FC9" w:rsidRPr="001E3FC9">
        <w:t>make</w:t>
      </w:r>
      <w:r w:rsidR="00740919">
        <w:t>s</w:t>
      </w:r>
      <w:r w:rsidR="001E3FC9" w:rsidRPr="001E3FC9">
        <w:t xml:space="preserve"> it a priority to adjust our protection</w:t>
      </w:r>
      <w:r w:rsidR="00740919">
        <w:t>s</w:t>
      </w:r>
      <w:r w:rsidR="001E3FC9" w:rsidRPr="001E3FC9">
        <w:t xml:space="preserve">/mitigations as soon as we know about them. </w:t>
      </w:r>
      <w:r w:rsidR="00740919">
        <w:t xml:space="preserve"> This includes </w:t>
      </w:r>
      <w:r w:rsidR="001E3FC9" w:rsidRPr="001E3FC9">
        <w:t>run</w:t>
      </w:r>
      <w:r w:rsidR="00740919">
        <w:t>ning</w:t>
      </w:r>
      <w:r w:rsidR="001E3FC9" w:rsidRPr="001E3FC9">
        <w:t xml:space="preserve"> a security audit every quarter and the Cyber Essentials Plus audit each year to verify we are working to a high standard. </w:t>
      </w:r>
      <w:r w:rsidR="00FE4C16">
        <w:t xml:space="preserve"> We are aware that </w:t>
      </w:r>
      <w:r w:rsidR="003C4FC2">
        <w:t>a</w:t>
      </w:r>
      <w:r w:rsidR="00DF5DC2">
        <w:t xml:space="preserve"> </w:t>
      </w:r>
      <w:r w:rsidR="00112E81">
        <w:t>cyber-attack</w:t>
      </w:r>
      <w:r w:rsidR="003C4FC2">
        <w:t xml:space="preserve"> </w:t>
      </w:r>
      <w:r w:rsidR="00112E81">
        <w:t xml:space="preserve">remains a </w:t>
      </w:r>
      <w:r w:rsidR="003C4FC2">
        <w:t>possib</w:t>
      </w:r>
      <w:r w:rsidR="00112E81">
        <w:t>i</w:t>
      </w:r>
      <w:r w:rsidR="003C4FC2">
        <w:t>l</w:t>
      </w:r>
      <w:r w:rsidR="00112E81">
        <w:t xml:space="preserve">ity </w:t>
      </w:r>
      <w:r w:rsidR="003C4FC2">
        <w:t xml:space="preserve">so </w:t>
      </w:r>
      <w:r w:rsidR="001E3FC9" w:rsidRPr="001E3FC9">
        <w:t>o</w:t>
      </w:r>
      <w:r w:rsidR="003C4FC2">
        <w:t xml:space="preserve">ur team </w:t>
      </w:r>
      <w:r w:rsidR="001E3FC9" w:rsidRPr="001E3FC9">
        <w:t>have also</w:t>
      </w:r>
      <w:r w:rsidR="00893B2E">
        <w:t xml:space="preserve"> had training on </w:t>
      </w:r>
      <w:r w:rsidR="001E3FC9" w:rsidRPr="001E3FC9">
        <w:t xml:space="preserve">incident response </w:t>
      </w:r>
      <w:r w:rsidR="00893B2E">
        <w:t xml:space="preserve">and how to deal with a major </w:t>
      </w:r>
      <w:r w:rsidR="00012A8B">
        <w:t xml:space="preserve">incident should it occur. </w:t>
      </w:r>
      <w:r w:rsidR="001E3FC9" w:rsidRPr="001E3FC9">
        <w:t xml:space="preserve">This is also reviewed quarterly. </w:t>
      </w:r>
    </w:p>
    <w:p w14:paraId="288C5E51" w14:textId="77777777" w:rsidR="00556320" w:rsidRPr="00012A8B" w:rsidRDefault="00556320" w:rsidP="00012A8B">
      <w:pPr>
        <w:pStyle w:val="Bulletlist"/>
      </w:pPr>
      <w:r w:rsidRPr="00012A8B">
        <w:rPr>
          <w:b/>
          <w:bCs/>
        </w:rPr>
        <w:t>HIGHEST QUALITY EDUCATION AND SUPPORT</w:t>
      </w:r>
    </w:p>
    <w:p w14:paraId="188C5B4E" w14:textId="7B2B4543" w:rsidR="00556320" w:rsidRPr="00EF438B" w:rsidRDefault="001128F0" w:rsidP="00EF438B">
      <w:pPr>
        <w:pStyle w:val="Bulletlist"/>
        <w:numPr>
          <w:ilvl w:val="0"/>
          <w:numId w:val="0"/>
        </w:numPr>
        <w:ind w:left="360"/>
        <w:rPr>
          <w:u w:val="single"/>
        </w:rPr>
      </w:pPr>
      <w:r w:rsidRPr="00EF438B">
        <w:rPr>
          <w:u w:val="single"/>
        </w:rPr>
        <w:t>2019-20 Published Confirmed Attainment</w:t>
      </w:r>
    </w:p>
    <w:p w14:paraId="5E0D82DD" w14:textId="37A62913" w:rsidR="00B14C22" w:rsidRDefault="000913D2" w:rsidP="00B14C22">
      <w:pPr>
        <w:pStyle w:val="Bulletlist"/>
        <w:numPr>
          <w:ilvl w:val="1"/>
          <w:numId w:val="2"/>
        </w:numPr>
      </w:pPr>
      <w:r w:rsidRPr="000913D2">
        <w:t>The Scottish Funding Council confirmed last year’s performance indicators slightly later than usual in March 2021.  Overall, the college should be pleased with last year’s results in these challenging times. The table below show an overview of attainment for 2019-20</w:t>
      </w:r>
      <w:r w:rsidR="00FE6F90">
        <w:t>.</w:t>
      </w:r>
    </w:p>
    <w:p w14:paraId="58642657" w14:textId="77777777" w:rsidR="007A0AEC" w:rsidRPr="00EF438B" w:rsidRDefault="007A0AEC" w:rsidP="007A0AEC">
      <w:pPr>
        <w:pStyle w:val="ListParagraph"/>
        <w:numPr>
          <w:ilvl w:val="1"/>
          <w:numId w:val="2"/>
        </w:numPr>
        <w:rPr>
          <w:rFonts w:cs="Arial"/>
        </w:rPr>
      </w:pPr>
      <w:r w:rsidRPr="00EF438B">
        <w:rPr>
          <w:rFonts w:cs="Arial"/>
        </w:rPr>
        <w:t>Table 1: Confirmed 2019-20 Attainment All Modes</w:t>
      </w:r>
    </w:p>
    <w:p w14:paraId="151FC155" w14:textId="77777777" w:rsidR="007A0AEC" w:rsidRPr="00EF438B" w:rsidRDefault="007A0AEC" w:rsidP="007A0AEC">
      <w:pPr>
        <w:pStyle w:val="ListParagraph"/>
        <w:ind w:left="360"/>
        <w:rPr>
          <w:rFonts w:cs="Arial"/>
        </w:rPr>
      </w:pPr>
    </w:p>
    <w:tbl>
      <w:tblPr>
        <w:tblStyle w:val="TableGrid"/>
        <w:tblW w:w="5000" w:type="pct"/>
        <w:tblLook w:val="04A0" w:firstRow="1" w:lastRow="0" w:firstColumn="1" w:lastColumn="0" w:noHBand="0" w:noVBand="1"/>
      </w:tblPr>
      <w:tblGrid>
        <w:gridCol w:w="686"/>
        <w:gridCol w:w="1167"/>
        <w:gridCol w:w="567"/>
        <w:gridCol w:w="1097"/>
        <w:gridCol w:w="567"/>
        <w:gridCol w:w="1177"/>
        <w:gridCol w:w="517"/>
        <w:gridCol w:w="1177"/>
        <w:gridCol w:w="467"/>
        <w:gridCol w:w="667"/>
        <w:gridCol w:w="927"/>
      </w:tblGrid>
      <w:tr w:rsidR="007A0AEC" w:rsidRPr="00FE6F90" w14:paraId="1612AD42" w14:textId="77777777" w:rsidTr="00D6449D">
        <w:tc>
          <w:tcPr>
            <w:tcW w:w="380" w:type="pct"/>
            <w:shd w:val="clear" w:color="auto" w:fill="4F81BD" w:themeFill="accent1"/>
          </w:tcPr>
          <w:p w14:paraId="7E4898AA"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Mode</w:t>
            </w:r>
          </w:p>
        </w:tc>
        <w:tc>
          <w:tcPr>
            <w:tcW w:w="647" w:type="pct"/>
            <w:shd w:val="clear" w:color="auto" w:fill="4F81BD" w:themeFill="accent1"/>
          </w:tcPr>
          <w:p w14:paraId="4215BA34"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No. Completed Successful</w:t>
            </w:r>
          </w:p>
        </w:tc>
        <w:tc>
          <w:tcPr>
            <w:tcW w:w="314" w:type="pct"/>
            <w:shd w:val="clear" w:color="auto" w:fill="4F81BD" w:themeFill="accent1"/>
          </w:tcPr>
          <w:p w14:paraId="56952DE3"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 xml:space="preserve">% </w:t>
            </w:r>
          </w:p>
        </w:tc>
        <w:tc>
          <w:tcPr>
            <w:tcW w:w="608" w:type="pct"/>
            <w:shd w:val="clear" w:color="auto" w:fill="4F81BD" w:themeFill="accent1"/>
          </w:tcPr>
          <w:p w14:paraId="340E44DE"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Competed Partial Success</w:t>
            </w:r>
          </w:p>
        </w:tc>
        <w:tc>
          <w:tcPr>
            <w:tcW w:w="314" w:type="pct"/>
            <w:shd w:val="clear" w:color="auto" w:fill="4F81BD" w:themeFill="accent1"/>
          </w:tcPr>
          <w:p w14:paraId="2274C59A"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w:t>
            </w:r>
          </w:p>
        </w:tc>
        <w:tc>
          <w:tcPr>
            <w:tcW w:w="653" w:type="pct"/>
            <w:shd w:val="clear" w:color="auto" w:fill="4F81BD" w:themeFill="accent1"/>
          </w:tcPr>
          <w:p w14:paraId="74CD6D53"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Further Withdrawal</w:t>
            </w:r>
          </w:p>
        </w:tc>
        <w:tc>
          <w:tcPr>
            <w:tcW w:w="287" w:type="pct"/>
            <w:shd w:val="clear" w:color="auto" w:fill="4F81BD" w:themeFill="accent1"/>
          </w:tcPr>
          <w:p w14:paraId="07E7F4D4"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w:t>
            </w:r>
          </w:p>
        </w:tc>
        <w:tc>
          <w:tcPr>
            <w:tcW w:w="653" w:type="pct"/>
            <w:shd w:val="clear" w:color="auto" w:fill="4F81BD" w:themeFill="accent1"/>
          </w:tcPr>
          <w:p w14:paraId="68A81D3D"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Early Withdrawal</w:t>
            </w:r>
          </w:p>
        </w:tc>
        <w:tc>
          <w:tcPr>
            <w:tcW w:w="259" w:type="pct"/>
            <w:shd w:val="clear" w:color="auto" w:fill="4F81BD" w:themeFill="accent1"/>
          </w:tcPr>
          <w:p w14:paraId="14769E28"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w:t>
            </w:r>
          </w:p>
        </w:tc>
        <w:tc>
          <w:tcPr>
            <w:tcW w:w="370" w:type="pct"/>
            <w:shd w:val="clear" w:color="auto" w:fill="4F81BD" w:themeFill="accent1"/>
          </w:tcPr>
          <w:p w14:paraId="259E14B6" w14:textId="77777777" w:rsidR="007A0AEC" w:rsidRPr="00FE6F90" w:rsidRDefault="007A0AEC" w:rsidP="003313AC">
            <w:pPr>
              <w:pStyle w:val="ListParagraph"/>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Total</w:t>
            </w:r>
          </w:p>
        </w:tc>
        <w:tc>
          <w:tcPr>
            <w:tcW w:w="514" w:type="pct"/>
            <w:shd w:val="clear" w:color="auto" w:fill="4F81BD" w:themeFill="accent1"/>
          </w:tcPr>
          <w:p w14:paraId="3C8D5C17" w14:textId="77777777" w:rsidR="007A0AEC" w:rsidRPr="00FE6F90" w:rsidRDefault="007A0AEC" w:rsidP="003313AC">
            <w:pPr>
              <w:pStyle w:val="ListParagraph"/>
              <w:spacing w:line="360" w:lineRule="auto"/>
              <w:ind w:left="0"/>
              <w:jc w:val="center"/>
              <w:rPr>
                <w:rFonts w:ascii="Arial" w:hAnsi="Arial" w:cs="Arial"/>
                <w:b/>
                <w:bCs/>
                <w:color w:val="FFFFFF" w:themeColor="background1"/>
                <w:sz w:val="18"/>
                <w:szCs w:val="18"/>
              </w:rPr>
            </w:pPr>
            <w:r w:rsidRPr="00FE6F90">
              <w:rPr>
                <w:rFonts w:ascii="Arial" w:hAnsi="Arial" w:cs="Arial"/>
                <w:b/>
                <w:bCs/>
                <w:color w:val="FFFFFF" w:themeColor="background1"/>
                <w:sz w:val="18"/>
                <w:szCs w:val="18"/>
              </w:rPr>
              <w:t>National Rates %</w:t>
            </w:r>
          </w:p>
        </w:tc>
      </w:tr>
      <w:tr w:rsidR="00D6449D" w:rsidRPr="00FE6F90" w14:paraId="2132002E" w14:textId="77777777" w:rsidTr="00D6449D">
        <w:tc>
          <w:tcPr>
            <w:tcW w:w="380" w:type="pct"/>
          </w:tcPr>
          <w:p w14:paraId="658D7AB7" w14:textId="77777777" w:rsidR="007A0AEC" w:rsidRPr="00FE6F90" w:rsidRDefault="007A0AEC" w:rsidP="003313AC">
            <w:pPr>
              <w:pStyle w:val="ListParagraph"/>
              <w:ind w:left="0"/>
              <w:rPr>
                <w:rFonts w:ascii="Arial" w:hAnsi="Arial" w:cs="Arial"/>
                <w:sz w:val="18"/>
                <w:szCs w:val="18"/>
              </w:rPr>
            </w:pPr>
            <w:r w:rsidRPr="00FE6F90">
              <w:rPr>
                <w:rFonts w:ascii="Arial" w:hAnsi="Arial" w:cs="Arial"/>
                <w:sz w:val="18"/>
                <w:szCs w:val="18"/>
              </w:rPr>
              <w:t>FE FT</w:t>
            </w:r>
          </w:p>
        </w:tc>
        <w:tc>
          <w:tcPr>
            <w:tcW w:w="647" w:type="pct"/>
          </w:tcPr>
          <w:p w14:paraId="7FA9B217"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956</w:t>
            </w:r>
          </w:p>
        </w:tc>
        <w:tc>
          <w:tcPr>
            <w:tcW w:w="314" w:type="pct"/>
          </w:tcPr>
          <w:p w14:paraId="2C2226F9"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71.4</w:t>
            </w:r>
          </w:p>
        </w:tc>
        <w:tc>
          <w:tcPr>
            <w:tcW w:w="608" w:type="pct"/>
          </w:tcPr>
          <w:p w14:paraId="353DF9CC"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145</w:t>
            </w:r>
          </w:p>
        </w:tc>
        <w:tc>
          <w:tcPr>
            <w:tcW w:w="314" w:type="pct"/>
          </w:tcPr>
          <w:p w14:paraId="25A4CAB2"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10.8</w:t>
            </w:r>
          </w:p>
        </w:tc>
        <w:tc>
          <w:tcPr>
            <w:tcW w:w="653" w:type="pct"/>
          </w:tcPr>
          <w:p w14:paraId="3E00E25C"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118</w:t>
            </w:r>
          </w:p>
        </w:tc>
        <w:tc>
          <w:tcPr>
            <w:tcW w:w="287" w:type="pct"/>
          </w:tcPr>
          <w:p w14:paraId="42F8B924"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8.8</w:t>
            </w:r>
          </w:p>
        </w:tc>
        <w:tc>
          <w:tcPr>
            <w:tcW w:w="653" w:type="pct"/>
          </w:tcPr>
          <w:p w14:paraId="5AE36C20"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120</w:t>
            </w:r>
          </w:p>
        </w:tc>
        <w:tc>
          <w:tcPr>
            <w:tcW w:w="259" w:type="pct"/>
          </w:tcPr>
          <w:p w14:paraId="61B7DD7E"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9</w:t>
            </w:r>
          </w:p>
        </w:tc>
        <w:tc>
          <w:tcPr>
            <w:tcW w:w="370" w:type="pct"/>
          </w:tcPr>
          <w:p w14:paraId="65B90AC1"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1,339</w:t>
            </w:r>
          </w:p>
        </w:tc>
        <w:tc>
          <w:tcPr>
            <w:tcW w:w="514" w:type="pct"/>
          </w:tcPr>
          <w:p w14:paraId="06DE821B"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65.2</w:t>
            </w:r>
          </w:p>
        </w:tc>
      </w:tr>
      <w:tr w:rsidR="00D6449D" w:rsidRPr="00FE6F90" w14:paraId="613E2231" w14:textId="77777777" w:rsidTr="00D6449D">
        <w:tc>
          <w:tcPr>
            <w:tcW w:w="380" w:type="pct"/>
          </w:tcPr>
          <w:p w14:paraId="163DAB4C" w14:textId="77777777" w:rsidR="007A0AEC" w:rsidRPr="00FE6F90" w:rsidRDefault="007A0AEC" w:rsidP="003313AC">
            <w:pPr>
              <w:pStyle w:val="ListParagraph"/>
              <w:ind w:left="0"/>
              <w:rPr>
                <w:rFonts w:ascii="Arial" w:hAnsi="Arial" w:cs="Arial"/>
                <w:sz w:val="18"/>
                <w:szCs w:val="18"/>
              </w:rPr>
            </w:pPr>
            <w:r w:rsidRPr="00FE6F90">
              <w:rPr>
                <w:rFonts w:ascii="Arial" w:hAnsi="Arial" w:cs="Arial"/>
                <w:sz w:val="18"/>
                <w:szCs w:val="18"/>
              </w:rPr>
              <w:t>FE PT</w:t>
            </w:r>
          </w:p>
        </w:tc>
        <w:tc>
          <w:tcPr>
            <w:tcW w:w="647" w:type="pct"/>
          </w:tcPr>
          <w:p w14:paraId="56E13A21"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1,242</w:t>
            </w:r>
          </w:p>
        </w:tc>
        <w:tc>
          <w:tcPr>
            <w:tcW w:w="314" w:type="pct"/>
          </w:tcPr>
          <w:p w14:paraId="197FF4AF"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78.4</w:t>
            </w:r>
          </w:p>
        </w:tc>
        <w:tc>
          <w:tcPr>
            <w:tcW w:w="608" w:type="pct"/>
          </w:tcPr>
          <w:p w14:paraId="5CDA983E"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167</w:t>
            </w:r>
          </w:p>
        </w:tc>
        <w:tc>
          <w:tcPr>
            <w:tcW w:w="314" w:type="pct"/>
          </w:tcPr>
          <w:p w14:paraId="490F64FB"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10.5</w:t>
            </w:r>
          </w:p>
        </w:tc>
        <w:tc>
          <w:tcPr>
            <w:tcW w:w="653" w:type="pct"/>
          </w:tcPr>
          <w:p w14:paraId="6EA1BE95"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121</w:t>
            </w:r>
          </w:p>
        </w:tc>
        <w:tc>
          <w:tcPr>
            <w:tcW w:w="287" w:type="pct"/>
          </w:tcPr>
          <w:p w14:paraId="4E194C52"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7.6</w:t>
            </w:r>
          </w:p>
        </w:tc>
        <w:tc>
          <w:tcPr>
            <w:tcW w:w="653" w:type="pct"/>
          </w:tcPr>
          <w:p w14:paraId="3B91B8BC"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55</w:t>
            </w:r>
          </w:p>
        </w:tc>
        <w:tc>
          <w:tcPr>
            <w:tcW w:w="259" w:type="pct"/>
          </w:tcPr>
          <w:p w14:paraId="6068E10E"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3.5</w:t>
            </w:r>
          </w:p>
        </w:tc>
        <w:tc>
          <w:tcPr>
            <w:tcW w:w="370" w:type="pct"/>
          </w:tcPr>
          <w:p w14:paraId="328ED158"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1,585</w:t>
            </w:r>
          </w:p>
        </w:tc>
        <w:tc>
          <w:tcPr>
            <w:tcW w:w="514" w:type="pct"/>
          </w:tcPr>
          <w:p w14:paraId="2C01EF17"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79.7</w:t>
            </w:r>
          </w:p>
        </w:tc>
      </w:tr>
      <w:tr w:rsidR="00D6449D" w:rsidRPr="00FE6F90" w14:paraId="0F5241A0" w14:textId="77777777" w:rsidTr="00D6449D">
        <w:tc>
          <w:tcPr>
            <w:tcW w:w="380" w:type="pct"/>
          </w:tcPr>
          <w:p w14:paraId="27B28DAA" w14:textId="77777777" w:rsidR="007A0AEC" w:rsidRPr="00FE6F90" w:rsidRDefault="007A0AEC" w:rsidP="003313AC">
            <w:pPr>
              <w:pStyle w:val="ListParagraph"/>
              <w:ind w:left="0"/>
              <w:rPr>
                <w:rFonts w:ascii="Arial" w:hAnsi="Arial" w:cs="Arial"/>
                <w:sz w:val="18"/>
                <w:szCs w:val="18"/>
              </w:rPr>
            </w:pPr>
            <w:r w:rsidRPr="00FE6F90">
              <w:rPr>
                <w:rFonts w:ascii="Arial" w:hAnsi="Arial" w:cs="Arial"/>
                <w:sz w:val="18"/>
                <w:szCs w:val="18"/>
              </w:rPr>
              <w:t xml:space="preserve">HE FT </w:t>
            </w:r>
          </w:p>
        </w:tc>
        <w:tc>
          <w:tcPr>
            <w:tcW w:w="647" w:type="pct"/>
          </w:tcPr>
          <w:p w14:paraId="07F180C3"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806</w:t>
            </w:r>
          </w:p>
        </w:tc>
        <w:tc>
          <w:tcPr>
            <w:tcW w:w="314" w:type="pct"/>
          </w:tcPr>
          <w:p w14:paraId="56E56FB0"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77.9</w:t>
            </w:r>
          </w:p>
        </w:tc>
        <w:tc>
          <w:tcPr>
            <w:tcW w:w="608" w:type="pct"/>
          </w:tcPr>
          <w:p w14:paraId="3AFA8B47"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91</w:t>
            </w:r>
          </w:p>
        </w:tc>
        <w:tc>
          <w:tcPr>
            <w:tcW w:w="314" w:type="pct"/>
          </w:tcPr>
          <w:p w14:paraId="38BE028D"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8.8</w:t>
            </w:r>
          </w:p>
        </w:tc>
        <w:tc>
          <w:tcPr>
            <w:tcW w:w="653" w:type="pct"/>
          </w:tcPr>
          <w:p w14:paraId="6C74BA4E"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82</w:t>
            </w:r>
          </w:p>
        </w:tc>
        <w:tc>
          <w:tcPr>
            <w:tcW w:w="287" w:type="pct"/>
          </w:tcPr>
          <w:p w14:paraId="551C2F6E"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7.9</w:t>
            </w:r>
          </w:p>
        </w:tc>
        <w:tc>
          <w:tcPr>
            <w:tcW w:w="653" w:type="pct"/>
          </w:tcPr>
          <w:p w14:paraId="35547AC9"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55</w:t>
            </w:r>
          </w:p>
        </w:tc>
        <w:tc>
          <w:tcPr>
            <w:tcW w:w="259" w:type="pct"/>
          </w:tcPr>
          <w:p w14:paraId="04F7331C"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5.3</w:t>
            </w:r>
          </w:p>
        </w:tc>
        <w:tc>
          <w:tcPr>
            <w:tcW w:w="370" w:type="pct"/>
          </w:tcPr>
          <w:p w14:paraId="1A707498"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1,034</w:t>
            </w:r>
          </w:p>
        </w:tc>
        <w:tc>
          <w:tcPr>
            <w:tcW w:w="514" w:type="pct"/>
          </w:tcPr>
          <w:p w14:paraId="6735A044"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69.8</w:t>
            </w:r>
          </w:p>
        </w:tc>
      </w:tr>
      <w:tr w:rsidR="00D6449D" w:rsidRPr="00FE6F90" w14:paraId="08464487" w14:textId="77777777" w:rsidTr="00D6449D">
        <w:tc>
          <w:tcPr>
            <w:tcW w:w="380" w:type="pct"/>
          </w:tcPr>
          <w:p w14:paraId="61AC4055" w14:textId="77777777" w:rsidR="007A0AEC" w:rsidRPr="00FE6F90" w:rsidRDefault="007A0AEC" w:rsidP="003313AC">
            <w:pPr>
              <w:pStyle w:val="ListParagraph"/>
              <w:ind w:left="0"/>
              <w:rPr>
                <w:rFonts w:ascii="Arial" w:hAnsi="Arial" w:cs="Arial"/>
                <w:sz w:val="18"/>
                <w:szCs w:val="18"/>
              </w:rPr>
            </w:pPr>
            <w:r w:rsidRPr="00FE6F90">
              <w:rPr>
                <w:rFonts w:ascii="Arial" w:hAnsi="Arial" w:cs="Arial"/>
                <w:sz w:val="18"/>
                <w:szCs w:val="18"/>
              </w:rPr>
              <w:t>HE PT</w:t>
            </w:r>
          </w:p>
        </w:tc>
        <w:tc>
          <w:tcPr>
            <w:tcW w:w="647" w:type="pct"/>
          </w:tcPr>
          <w:p w14:paraId="282CF956"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292</w:t>
            </w:r>
          </w:p>
        </w:tc>
        <w:tc>
          <w:tcPr>
            <w:tcW w:w="314" w:type="pct"/>
          </w:tcPr>
          <w:p w14:paraId="606626C4"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85.6</w:t>
            </w:r>
          </w:p>
        </w:tc>
        <w:tc>
          <w:tcPr>
            <w:tcW w:w="608" w:type="pct"/>
          </w:tcPr>
          <w:p w14:paraId="49EA14D4"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17</w:t>
            </w:r>
          </w:p>
        </w:tc>
        <w:tc>
          <w:tcPr>
            <w:tcW w:w="314" w:type="pct"/>
          </w:tcPr>
          <w:p w14:paraId="342DEADF"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5</w:t>
            </w:r>
          </w:p>
          <w:p w14:paraId="60984F64" w14:textId="77777777" w:rsidR="007A0AEC" w:rsidRPr="00FE6F90" w:rsidRDefault="007A0AEC" w:rsidP="003313AC">
            <w:pPr>
              <w:pStyle w:val="ListParagraph"/>
              <w:ind w:left="0"/>
              <w:jc w:val="center"/>
              <w:rPr>
                <w:rFonts w:ascii="Arial" w:hAnsi="Arial" w:cs="Arial"/>
                <w:sz w:val="18"/>
                <w:szCs w:val="18"/>
              </w:rPr>
            </w:pPr>
          </w:p>
        </w:tc>
        <w:tc>
          <w:tcPr>
            <w:tcW w:w="653" w:type="pct"/>
          </w:tcPr>
          <w:p w14:paraId="4E2A9C20"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18</w:t>
            </w:r>
          </w:p>
        </w:tc>
        <w:tc>
          <w:tcPr>
            <w:tcW w:w="287" w:type="pct"/>
          </w:tcPr>
          <w:p w14:paraId="53B44793"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 xml:space="preserve">5.3 </w:t>
            </w:r>
          </w:p>
        </w:tc>
        <w:tc>
          <w:tcPr>
            <w:tcW w:w="653" w:type="pct"/>
          </w:tcPr>
          <w:p w14:paraId="462AA4F9"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14</w:t>
            </w:r>
          </w:p>
        </w:tc>
        <w:tc>
          <w:tcPr>
            <w:tcW w:w="259" w:type="pct"/>
          </w:tcPr>
          <w:p w14:paraId="6D07C4BD"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 xml:space="preserve">4.1 </w:t>
            </w:r>
          </w:p>
        </w:tc>
        <w:tc>
          <w:tcPr>
            <w:tcW w:w="370" w:type="pct"/>
          </w:tcPr>
          <w:p w14:paraId="5E137028"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341</w:t>
            </w:r>
          </w:p>
        </w:tc>
        <w:tc>
          <w:tcPr>
            <w:tcW w:w="514" w:type="pct"/>
          </w:tcPr>
          <w:p w14:paraId="2AC2A525" w14:textId="77777777" w:rsidR="007A0AEC" w:rsidRPr="00FE6F90" w:rsidRDefault="007A0AEC" w:rsidP="003313AC">
            <w:pPr>
              <w:pStyle w:val="ListParagraph"/>
              <w:ind w:left="0"/>
              <w:jc w:val="center"/>
              <w:rPr>
                <w:rFonts w:ascii="Arial" w:hAnsi="Arial" w:cs="Arial"/>
                <w:sz w:val="18"/>
                <w:szCs w:val="18"/>
              </w:rPr>
            </w:pPr>
            <w:r w:rsidRPr="00FE6F90">
              <w:rPr>
                <w:rFonts w:ascii="Arial" w:hAnsi="Arial" w:cs="Arial"/>
                <w:sz w:val="18"/>
                <w:szCs w:val="18"/>
              </w:rPr>
              <w:t>78.9</w:t>
            </w:r>
          </w:p>
        </w:tc>
      </w:tr>
    </w:tbl>
    <w:p w14:paraId="7206C5D5" w14:textId="0A411B84" w:rsidR="000913D2" w:rsidRDefault="000913D2" w:rsidP="00FE6F90">
      <w:pPr>
        <w:pStyle w:val="Bulletlist"/>
        <w:numPr>
          <w:ilvl w:val="0"/>
          <w:numId w:val="0"/>
        </w:numPr>
        <w:ind w:left="360" w:hanging="360"/>
      </w:pPr>
    </w:p>
    <w:p w14:paraId="4F989896" w14:textId="2A4B7F18" w:rsidR="0099010D" w:rsidRDefault="0099010D" w:rsidP="00B14C22">
      <w:pPr>
        <w:pStyle w:val="Bulletlist"/>
        <w:numPr>
          <w:ilvl w:val="1"/>
          <w:numId w:val="2"/>
        </w:numPr>
      </w:pPr>
      <w:r w:rsidRPr="0099010D">
        <w:t>It is expected that overall college attainment for 2020-21 will decrease due to the number of students withdrawing from their courses</w:t>
      </w:r>
      <w:r w:rsidR="00AC26F5">
        <w:t xml:space="preserve"> or not fully completing their qualifications</w:t>
      </w:r>
      <w:r w:rsidRPr="0099010D">
        <w:t xml:space="preserve"> due to the challenges they have faced during lockdown, despite the significant support being received from the college. The main area of concern is FE FT as most of the retention issues are in this mode of provision.</w:t>
      </w:r>
      <w:r w:rsidR="00796A4D">
        <w:t xml:space="preserve"> It is expected that </w:t>
      </w:r>
      <w:r w:rsidR="00CA5689">
        <w:t xml:space="preserve">the college attainment for this mode will be on or just above national rates. </w:t>
      </w:r>
      <w:r w:rsidRPr="0099010D">
        <w:t xml:space="preserve"> Overall college retention currently stands at </w:t>
      </w:r>
      <w:r w:rsidR="008F1928">
        <w:t>90.2</w:t>
      </w:r>
      <w:r w:rsidRPr="0099010D">
        <w:t xml:space="preserve">%, which is </w:t>
      </w:r>
      <w:r w:rsidR="00E537BC">
        <w:t>2.4</w:t>
      </w:r>
      <w:r w:rsidRPr="0099010D">
        <w:t>% above year end retention for last year</w:t>
      </w:r>
      <w:r w:rsidR="00D44542">
        <w:t xml:space="preserve">, with early </w:t>
      </w:r>
      <w:r w:rsidR="001D7B3F">
        <w:t>and further withdrawals standing at</w:t>
      </w:r>
      <w:r w:rsidR="003C1B5E">
        <w:t xml:space="preserve"> 3.6%</w:t>
      </w:r>
      <w:r w:rsidR="001D7B3F">
        <w:t xml:space="preserve"> </w:t>
      </w:r>
      <w:r w:rsidR="00C72812">
        <w:t>(</w:t>
      </w:r>
      <w:r w:rsidR="00280FD4">
        <w:t>2019-20</w:t>
      </w:r>
      <w:r w:rsidR="00C72812">
        <w:t xml:space="preserve"> </w:t>
      </w:r>
      <w:r w:rsidR="001D7B3F">
        <w:t>5.3%</w:t>
      </w:r>
      <w:r w:rsidR="00C72812">
        <w:t>)</w:t>
      </w:r>
      <w:r w:rsidR="001D7B3F">
        <w:t xml:space="preserve"> and </w:t>
      </w:r>
      <w:r w:rsidR="003C1B5E">
        <w:t xml:space="preserve">6.2% </w:t>
      </w:r>
      <w:r w:rsidR="00C72812">
        <w:t>(</w:t>
      </w:r>
      <w:r w:rsidR="00280FD4">
        <w:t>2019-20</w:t>
      </w:r>
      <w:r w:rsidR="001D7B3F">
        <w:t>6.8%</w:t>
      </w:r>
      <w:r w:rsidR="00C72812">
        <w:t>)</w:t>
      </w:r>
      <w:r w:rsidR="001D7B3F">
        <w:t xml:space="preserve"> respectively. </w:t>
      </w:r>
    </w:p>
    <w:p w14:paraId="211AB9E8" w14:textId="0706D1E9" w:rsidR="00B14C22" w:rsidRDefault="00FB4FF8" w:rsidP="00B14C22">
      <w:pPr>
        <w:pStyle w:val="Bulletlist"/>
        <w:numPr>
          <w:ilvl w:val="1"/>
          <w:numId w:val="2"/>
        </w:numPr>
      </w:pPr>
      <w:r>
        <w:lastRenderedPageBreak/>
        <w:t>The Curriculum, Quality and Development Committee noted the s</w:t>
      </w:r>
      <w:r w:rsidR="00BA24BE">
        <w:t xml:space="preserve">ignificant work </w:t>
      </w:r>
      <w:proofErr w:type="gramStart"/>
      <w:r>
        <w:t>being</w:t>
      </w:r>
      <w:r w:rsidR="00BA24BE">
        <w:t xml:space="preserve"> been</w:t>
      </w:r>
      <w:proofErr w:type="gramEnd"/>
      <w:r w:rsidR="00BA24BE">
        <w:t xml:space="preserve"> done by faculties</w:t>
      </w:r>
      <w:r w:rsidR="00A57F91">
        <w:t xml:space="preserve"> and the Quality Team</w:t>
      </w:r>
      <w:r w:rsidR="00BA24BE">
        <w:t xml:space="preserve"> to support students to achieve their qualifications</w:t>
      </w:r>
      <w:r>
        <w:t>.</w:t>
      </w:r>
      <w:r w:rsidR="00A000D0">
        <w:t xml:space="preserve"> </w:t>
      </w:r>
      <w:r>
        <w:t xml:space="preserve"> As such it is expected that only 10% of FT and PT students will need to defer the qualification into the next academic year</w:t>
      </w:r>
      <w:r w:rsidR="00A57F91">
        <w:t xml:space="preserve">, and it is hoped to further reduce this number. </w:t>
      </w:r>
      <w:r w:rsidR="00D439C2">
        <w:t xml:space="preserve">For </w:t>
      </w:r>
      <w:r w:rsidR="007F4FAE">
        <w:t>work-based</w:t>
      </w:r>
      <w:r w:rsidR="00D439C2">
        <w:t xml:space="preserve"> learning students</w:t>
      </w:r>
      <w:r w:rsidR="003461EA">
        <w:t>,</w:t>
      </w:r>
      <w:r w:rsidR="00D439C2">
        <w:t xml:space="preserve"> the deferrals are higher at 48% which is due to them not being able undertake on site </w:t>
      </w:r>
      <w:r w:rsidR="0064513E">
        <w:t xml:space="preserve">assessments. </w:t>
      </w:r>
    </w:p>
    <w:p w14:paraId="73C54B88" w14:textId="69247A39" w:rsidR="00556320" w:rsidRDefault="00C90899" w:rsidP="00556320">
      <w:pPr>
        <w:pStyle w:val="Bulletlist"/>
        <w:numPr>
          <w:ilvl w:val="1"/>
          <w:numId w:val="2"/>
        </w:numPr>
      </w:pPr>
      <w:r>
        <w:t>Planning is still ongoing for August</w:t>
      </w:r>
      <w:r w:rsidR="00A57F91">
        <w:t xml:space="preserve"> 2021</w:t>
      </w:r>
      <w:r>
        <w:t xml:space="preserve"> and the </w:t>
      </w:r>
      <w:r w:rsidR="00556320">
        <w:t xml:space="preserve">sector </w:t>
      </w:r>
      <w:r>
        <w:t xml:space="preserve">continues </w:t>
      </w:r>
      <w:r w:rsidR="00556320">
        <w:t xml:space="preserve">to lobby the Scottish Government and the Scottish Funding Council </w:t>
      </w:r>
      <w:r w:rsidR="009D7751">
        <w:t xml:space="preserve">regarding </w:t>
      </w:r>
      <w:r w:rsidR="003461EA">
        <w:t xml:space="preserve">physical </w:t>
      </w:r>
      <w:r w:rsidR="009D7751">
        <w:t>distancing measures</w:t>
      </w:r>
      <w:r w:rsidR="003461EA">
        <w:t xml:space="preserve">.  We are hopeful that this may be possible by the next academic session.  </w:t>
      </w:r>
      <w:r w:rsidR="00775908">
        <w:t xml:space="preserve"> </w:t>
      </w:r>
    </w:p>
    <w:p w14:paraId="59ABA0A1" w14:textId="110BC989" w:rsidR="00556320" w:rsidRPr="00250AAF" w:rsidRDefault="00556320" w:rsidP="00556320">
      <w:pPr>
        <w:pStyle w:val="Bulletlist"/>
      </w:pPr>
      <w:r w:rsidRPr="00250AAF">
        <w:rPr>
          <w:b/>
          <w:bCs/>
        </w:rPr>
        <w:t>S</w:t>
      </w:r>
      <w:r w:rsidR="00FB3CC0" w:rsidRPr="00250AAF">
        <w:rPr>
          <w:b/>
          <w:bCs/>
        </w:rPr>
        <w:t>TAFF WELL-BEING</w:t>
      </w:r>
      <w:r w:rsidRPr="00250AAF">
        <w:t xml:space="preserve"> </w:t>
      </w:r>
    </w:p>
    <w:p w14:paraId="283E1B87" w14:textId="11B9EA85" w:rsidR="00556320" w:rsidRDefault="00556320" w:rsidP="00556320">
      <w:pPr>
        <w:pStyle w:val="Bulletlist"/>
        <w:numPr>
          <w:ilvl w:val="1"/>
          <w:numId w:val="2"/>
        </w:numPr>
      </w:pPr>
      <w:r>
        <w:t xml:space="preserve"> </w:t>
      </w:r>
      <w:r w:rsidR="009259DE" w:rsidRPr="009259DE">
        <w:t>We are now able to work at level 3 restrictions, which should mean being able to have approximately 33% of students on campus.</w:t>
      </w:r>
      <w:r w:rsidR="006B21EA">
        <w:t xml:space="preserve"> </w:t>
      </w:r>
      <w:r w:rsidR="009259DE" w:rsidRPr="009259DE">
        <w:t xml:space="preserve"> It should be noted that </w:t>
      </w:r>
      <w:r w:rsidR="006B21EA">
        <w:t xml:space="preserve">(a) </w:t>
      </w:r>
      <w:r w:rsidR="009259DE" w:rsidRPr="009259DE">
        <w:t>this is still only about 1,650 students on campus daily out of a possible approximate 5,000</w:t>
      </w:r>
      <w:r w:rsidR="006B21EA">
        <w:t>; and (b) that we have not yet reached this maximum</w:t>
      </w:r>
      <w:r w:rsidR="00E04BB5">
        <w:t>.</w:t>
      </w:r>
    </w:p>
    <w:p w14:paraId="17B4594A" w14:textId="6A309EBE" w:rsidR="00B64282" w:rsidRDefault="00E04BB5" w:rsidP="00B64282">
      <w:pPr>
        <w:pStyle w:val="Bulletlist"/>
        <w:numPr>
          <w:ilvl w:val="1"/>
          <w:numId w:val="2"/>
        </w:numPr>
      </w:pPr>
      <w:r>
        <w:t>The college has had a carefully staged and managed return</w:t>
      </w:r>
      <w:r w:rsidR="008A38B8">
        <w:t xml:space="preserve"> to campus and has been mindful of both staff and students’ well-being at all stages of this transition.  </w:t>
      </w:r>
      <w:r w:rsidR="00942E83" w:rsidRPr="00942E83">
        <w:t xml:space="preserve">As more staff and students have returned to </w:t>
      </w:r>
      <w:r w:rsidR="00AA1C94" w:rsidRPr="00942E83">
        <w:t>campus,</w:t>
      </w:r>
      <w:r w:rsidR="00942E83" w:rsidRPr="00942E83">
        <w:t xml:space="preserve"> we have reinforced our existing COVID precautions</w:t>
      </w:r>
      <w:r w:rsidR="00B64282">
        <w:t xml:space="preserve">. The college was also mindful of how staff, who had not been on campus for some time, would feel about returning, and regular communications such as videos were sent out to show what they could expect and to highlight all the mitigations that had been put in place. </w:t>
      </w:r>
      <w:r w:rsidR="001403C2">
        <w:t xml:space="preserve"> </w:t>
      </w:r>
      <w:r w:rsidR="00B64282">
        <w:t>The Principalship also held some welcome back meetings with teams, which was a great way for staff to ask any questions or feedback on anything that they might wish to know more about.</w:t>
      </w:r>
      <w:r w:rsidR="00740E39">
        <w:t xml:space="preserve"> </w:t>
      </w:r>
      <w:r w:rsidR="00B64282">
        <w:t xml:space="preserve"> Many staff were excited to be back on campus and to be with their colleagues, though we recognise some instances of anxiety which</w:t>
      </w:r>
      <w:r w:rsidR="001113EC">
        <w:t xml:space="preserve"> are</w:t>
      </w:r>
      <w:r w:rsidR="00B64282">
        <w:t xml:space="preserve"> being supported. Note, all staff including, curriculum and business support, are in college on a rota basis</w:t>
      </w:r>
      <w:r w:rsidR="00E13AEF">
        <w:t xml:space="preserve"> to ensure the numbers are carefully managed and physical distancing maintained</w:t>
      </w:r>
      <w:r w:rsidR="008C16B3">
        <w:t xml:space="preserve">. </w:t>
      </w:r>
    </w:p>
    <w:p w14:paraId="7CD22679" w14:textId="6B2A0890" w:rsidR="00B64282" w:rsidRDefault="008C16B3" w:rsidP="00B64282">
      <w:pPr>
        <w:pStyle w:val="Bulletlist"/>
        <w:numPr>
          <w:ilvl w:val="1"/>
          <w:numId w:val="2"/>
        </w:numPr>
      </w:pPr>
      <w:r>
        <w:t>In addition, t</w:t>
      </w:r>
      <w:r w:rsidRPr="008C16B3">
        <w:t xml:space="preserve">he college, like the rest of the sector, </w:t>
      </w:r>
      <w:r>
        <w:t>has</w:t>
      </w:r>
      <w:r w:rsidRPr="008C16B3">
        <w:t xml:space="preserve"> roll</w:t>
      </w:r>
      <w:r>
        <w:t>ed</w:t>
      </w:r>
      <w:r w:rsidRPr="008C16B3">
        <w:t xml:space="preserve"> out</w:t>
      </w:r>
      <w:r w:rsidR="00A806AE">
        <w:t xml:space="preserve"> voluntary</w:t>
      </w:r>
      <w:r w:rsidRPr="008C16B3">
        <w:t xml:space="preserve"> free lateral flow </w:t>
      </w:r>
      <w:proofErr w:type="spellStart"/>
      <w:r w:rsidRPr="008C16B3">
        <w:t>Covid</w:t>
      </w:r>
      <w:proofErr w:type="spellEnd"/>
      <w:r w:rsidRPr="008C16B3">
        <w:t xml:space="preserve"> testing twice a week to all staff and students. </w:t>
      </w:r>
      <w:r w:rsidR="00A806AE">
        <w:t xml:space="preserve"> This provides another level of security for our staff and students. </w:t>
      </w:r>
    </w:p>
    <w:p w14:paraId="611D8AAF" w14:textId="4091B024" w:rsidR="007B105A" w:rsidRDefault="00B1683A" w:rsidP="00556320">
      <w:pPr>
        <w:pStyle w:val="Bulletlist"/>
        <w:numPr>
          <w:ilvl w:val="1"/>
          <w:numId w:val="2"/>
        </w:numPr>
      </w:pPr>
      <w:r w:rsidRPr="00B1683A">
        <w:t xml:space="preserve">The College launched its Organisational Stress Risk Assessment at the end of April to </w:t>
      </w:r>
      <w:r w:rsidR="0066610E">
        <w:t>gauge</w:t>
      </w:r>
      <w:r w:rsidRPr="00B1683A">
        <w:t xml:space="preserve"> what further support is needed </w:t>
      </w:r>
      <w:r w:rsidR="0066610E">
        <w:t>for</w:t>
      </w:r>
      <w:r w:rsidRPr="00B1683A">
        <w:t xml:space="preserve"> staff at the college.</w:t>
      </w:r>
      <w:r w:rsidR="0066610E">
        <w:t xml:space="preserve"> </w:t>
      </w:r>
      <w:r w:rsidR="00403A4C">
        <w:t xml:space="preserve"> </w:t>
      </w:r>
      <w:r w:rsidR="0066610E">
        <w:t xml:space="preserve">It is being run by an external organisation which </w:t>
      </w:r>
      <w:r w:rsidR="00994189">
        <w:t xml:space="preserve">ensures </w:t>
      </w:r>
      <w:r w:rsidR="00B310F5">
        <w:t>anony</w:t>
      </w:r>
      <w:r w:rsidR="00C04808">
        <w:t>mity when completing</w:t>
      </w:r>
      <w:r w:rsidR="00994189">
        <w:t xml:space="preserve"> </w:t>
      </w:r>
      <w:r w:rsidR="00E71685">
        <w:t>and</w:t>
      </w:r>
      <w:r w:rsidR="00994189">
        <w:t xml:space="preserve"> allows for anonymous interaction should the college wish to gather additional insights or </w:t>
      </w:r>
      <w:r w:rsidR="003E0696">
        <w:t xml:space="preserve">offer </w:t>
      </w:r>
      <w:r w:rsidR="00994189">
        <w:t>further support</w:t>
      </w:r>
      <w:r w:rsidR="003E0696">
        <w:t xml:space="preserve"> to</w:t>
      </w:r>
      <w:r w:rsidR="00994189">
        <w:t xml:space="preserve"> individual staff members. </w:t>
      </w:r>
      <w:r w:rsidRPr="00B1683A">
        <w:t xml:space="preserve"> The impact of lockdown has had a significant impact on staff, and this will enable the college to provide targeted support.</w:t>
      </w:r>
      <w:r w:rsidR="00B310F5">
        <w:t xml:space="preserve"> We are very pleased to have recorded a response rate of 83%.</w:t>
      </w:r>
      <w:r w:rsidR="00836F6F">
        <w:t xml:space="preserve">  Work is now in train to analyse responses and to provide communications to staff on proposed next steps.  </w:t>
      </w:r>
      <w:r w:rsidR="00B310F5">
        <w:t xml:space="preserve"> </w:t>
      </w:r>
    </w:p>
    <w:p w14:paraId="39078EA8" w14:textId="79E8080A" w:rsidR="00344954" w:rsidRPr="00D71F13" w:rsidRDefault="00344954" w:rsidP="00D71F13">
      <w:pPr>
        <w:ind w:firstLine="360"/>
        <w:rPr>
          <w:rFonts w:cs="Arial"/>
          <w:iCs/>
          <w:u w:val="single"/>
        </w:rPr>
      </w:pPr>
      <w:r w:rsidRPr="00D71F13">
        <w:rPr>
          <w:rFonts w:cs="Arial"/>
          <w:iCs/>
          <w:u w:val="single"/>
        </w:rPr>
        <w:t>Gender Based Violence (GBV) Charter Pilot Application</w:t>
      </w:r>
    </w:p>
    <w:p w14:paraId="69D206BE" w14:textId="0A6D4774" w:rsidR="00344954" w:rsidRPr="00D13E53" w:rsidRDefault="00344954" w:rsidP="00604996">
      <w:pPr>
        <w:pStyle w:val="ListParagraph"/>
        <w:numPr>
          <w:ilvl w:val="1"/>
          <w:numId w:val="2"/>
        </w:numPr>
        <w:spacing w:after="240" w:line="240" w:lineRule="auto"/>
        <w:ind w:left="357" w:hanging="357"/>
        <w:rPr>
          <w:rFonts w:eastAsia="MS Mincho" w:cs="Times New Roman"/>
          <w:iCs/>
          <w:szCs w:val="20"/>
        </w:rPr>
      </w:pPr>
      <w:r w:rsidRPr="003C5D84">
        <w:rPr>
          <w:rFonts w:eastAsia="MS Mincho" w:cs="Times New Roman"/>
          <w:iCs/>
          <w:szCs w:val="20"/>
        </w:rPr>
        <w:t>Within Student Services, we have already undertaken a great deal of work in relation to the prevention</w:t>
      </w:r>
      <w:r w:rsidRPr="00D13E53">
        <w:rPr>
          <w:rFonts w:eastAsia="MS Mincho" w:cs="Times New Roman"/>
          <w:iCs/>
          <w:szCs w:val="20"/>
        </w:rPr>
        <w:t xml:space="preserve"> of gender-based violence.  As such we recently submitted an application to work in partnership with </w:t>
      </w:r>
      <w:proofErr w:type="spellStart"/>
      <w:r w:rsidRPr="00D13E53">
        <w:rPr>
          <w:rFonts w:eastAsia="MS Mincho" w:cs="Times New Roman"/>
          <w:iCs/>
          <w:szCs w:val="20"/>
        </w:rPr>
        <w:t>EmilyTest</w:t>
      </w:r>
      <w:proofErr w:type="spellEnd"/>
      <w:r w:rsidRPr="00D13E53">
        <w:rPr>
          <w:rFonts w:eastAsia="MS Mincho" w:cs="Times New Roman"/>
          <w:iCs/>
          <w:szCs w:val="20"/>
        </w:rPr>
        <w:t>, a charity which aims to improve prevention, intervention and support concerning gender-based violence</w:t>
      </w:r>
      <w:r>
        <w:rPr>
          <w:rFonts w:eastAsia="MS Mincho" w:cs="Times New Roman"/>
          <w:iCs/>
          <w:szCs w:val="20"/>
        </w:rPr>
        <w:t xml:space="preserve"> (GBV)</w:t>
      </w:r>
      <w:r w:rsidRPr="00D13E53">
        <w:rPr>
          <w:rFonts w:eastAsia="MS Mincho" w:cs="Times New Roman"/>
          <w:iCs/>
          <w:szCs w:val="20"/>
        </w:rPr>
        <w:t xml:space="preserve"> in further and higher education, on a new pilot due to launch in May tackling the issue of GBV.  Our submission outlines all the support and activity that has been undertaken to date and highlights the college’s zero tolerance approach to gender-based violence.  We are delighted to confirm that we received confirmation on 26 April that we have been selected as one of the four Scottish pilot institutions</w:t>
      </w:r>
      <w:r w:rsidR="00E007BD">
        <w:rPr>
          <w:rFonts w:eastAsia="MS Mincho" w:cs="Times New Roman"/>
          <w:iCs/>
          <w:szCs w:val="20"/>
        </w:rPr>
        <w:t xml:space="preserve"> and this pilot is currently in train</w:t>
      </w:r>
      <w:r w:rsidRPr="00D13E53">
        <w:rPr>
          <w:rFonts w:eastAsia="MS Mincho" w:cs="Times New Roman"/>
          <w:iCs/>
          <w:szCs w:val="20"/>
        </w:rPr>
        <w:t xml:space="preserve">. </w:t>
      </w:r>
    </w:p>
    <w:p w14:paraId="67F57D1C" w14:textId="5B35E42E" w:rsidR="00556320" w:rsidRPr="00E062BB" w:rsidRDefault="00556320" w:rsidP="005C3CFD">
      <w:pPr>
        <w:pStyle w:val="Bulletlist"/>
      </w:pPr>
      <w:r w:rsidRPr="00E062BB">
        <w:rPr>
          <w:b/>
          <w:bCs/>
        </w:rPr>
        <w:lastRenderedPageBreak/>
        <w:t>Recruitment Key</w:t>
      </w:r>
      <w:r w:rsidRPr="00E062BB">
        <w:t xml:space="preserve"> </w:t>
      </w:r>
      <w:r w:rsidRPr="00E062BB">
        <w:rPr>
          <w:b/>
          <w:bCs/>
        </w:rPr>
        <w:t>Headlines</w:t>
      </w:r>
      <w:r w:rsidRPr="00E062BB">
        <w:t xml:space="preserve"> </w:t>
      </w:r>
    </w:p>
    <w:p w14:paraId="4BB10713" w14:textId="1201225B" w:rsidR="00561C1F" w:rsidRDefault="00556320" w:rsidP="00556320">
      <w:pPr>
        <w:pStyle w:val="Bulletlist"/>
        <w:numPr>
          <w:ilvl w:val="1"/>
          <w:numId w:val="2"/>
        </w:numPr>
      </w:pPr>
      <w:r>
        <w:t xml:space="preserve">Much work </w:t>
      </w:r>
      <w:r w:rsidR="00B93735">
        <w:t>c</w:t>
      </w:r>
      <w:r w:rsidR="007943ED">
        <w:t xml:space="preserve">ontinues to be </w:t>
      </w:r>
      <w:r>
        <w:t>undertaken to ramp up our recruitment drive for the 2021-22 academic session</w:t>
      </w:r>
      <w:r w:rsidR="009B2D84">
        <w:t xml:space="preserve">. </w:t>
      </w:r>
      <w:r w:rsidR="000D5030">
        <w:t xml:space="preserve"> </w:t>
      </w:r>
      <w:r w:rsidR="002948C1">
        <w:t>A</w:t>
      </w:r>
      <w:r w:rsidR="00395026">
        <w:t>s well as our normal campaigns</w:t>
      </w:r>
      <w:r w:rsidR="00D707AD">
        <w:t xml:space="preserve"> (Annex </w:t>
      </w:r>
      <w:r w:rsidR="00352E75">
        <w:t>B</w:t>
      </w:r>
      <w:r w:rsidR="00D707AD">
        <w:t>)</w:t>
      </w:r>
      <w:r w:rsidR="00395026">
        <w:t xml:space="preserve">, </w:t>
      </w:r>
      <w:r w:rsidR="00DA181D">
        <w:t>SLC is</w:t>
      </w:r>
      <w:r w:rsidR="00672339">
        <w:t xml:space="preserve"> also</w:t>
      </w:r>
      <w:r w:rsidR="00DA181D">
        <w:t xml:space="preserve"> par</w:t>
      </w:r>
      <w:r w:rsidR="00395026">
        <w:t xml:space="preserve">ticipating in </w:t>
      </w:r>
      <w:r w:rsidR="00DD1B93">
        <w:t xml:space="preserve">the College Development Network’s </w:t>
      </w:r>
      <w:r w:rsidR="00192169">
        <w:t>V</w:t>
      </w:r>
      <w:r w:rsidR="00DD1B93">
        <w:t>irtual</w:t>
      </w:r>
      <w:r w:rsidR="009B2D84">
        <w:t xml:space="preserve"> </w:t>
      </w:r>
      <w:r w:rsidR="00192169">
        <w:t>S</w:t>
      </w:r>
      <w:r w:rsidR="00DD1B93">
        <w:t>howcase</w:t>
      </w:r>
      <w:r w:rsidR="00192169">
        <w:t xml:space="preserve"> (#ChooseCollege), </w:t>
      </w:r>
      <w:r w:rsidR="001D5381">
        <w:t xml:space="preserve">aimed at </w:t>
      </w:r>
      <w:r w:rsidR="004B653C">
        <w:t>highlighting the great work that the college sector undertakes in preparing students for future or new careers</w:t>
      </w:r>
      <w:r>
        <w:t xml:space="preserve">. </w:t>
      </w:r>
      <w:r w:rsidR="00286913">
        <w:t xml:space="preserve"> Students </w:t>
      </w:r>
      <w:r w:rsidR="008378D6">
        <w:t xml:space="preserve">and prospective students were able to </w:t>
      </w:r>
      <w:r w:rsidR="00286913">
        <w:t xml:space="preserve">sign up for this </w:t>
      </w:r>
      <w:r w:rsidR="0062362A">
        <w:t xml:space="preserve">event and listen to ten colleges </w:t>
      </w:r>
      <w:r w:rsidR="003F4C01">
        <w:t>(</w:t>
      </w:r>
      <w:r w:rsidR="00561C1F">
        <w:t xml:space="preserve">including SLC) </w:t>
      </w:r>
      <w:r w:rsidR="003F4C01">
        <w:t>describ</w:t>
      </w:r>
      <w:r w:rsidR="002948C1">
        <w:t>e</w:t>
      </w:r>
      <w:r w:rsidR="003F4C01">
        <w:t xml:space="preserve"> </w:t>
      </w:r>
      <w:r w:rsidR="002948C1">
        <w:t xml:space="preserve">what they have to offer future applicants. </w:t>
      </w:r>
      <w:r w:rsidR="003F4C01">
        <w:t xml:space="preserve"> </w:t>
      </w:r>
      <w:r w:rsidR="00672339">
        <w:t xml:space="preserve"> </w:t>
      </w:r>
    </w:p>
    <w:p w14:paraId="1856A288" w14:textId="5BC69823" w:rsidR="00556320" w:rsidRDefault="00561C1F" w:rsidP="00556320">
      <w:pPr>
        <w:pStyle w:val="Bulletlist"/>
        <w:numPr>
          <w:ilvl w:val="1"/>
          <w:numId w:val="2"/>
        </w:numPr>
      </w:pPr>
      <w:r>
        <w:t xml:space="preserve">Good </w:t>
      </w:r>
      <w:r w:rsidR="00672339">
        <w:t>progress has been made since March</w:t>
      </w:r>
      <w:r w:rsidR="002A0BAB">
        <w:t xml:space="preserve"> 2021</w:t>
      </w:r>
      <w:r>
        <w:t xml:space="preserve">, </w:t>
      </w:r>
      <w:r w:rsidR="008A0ACA">
        <w:t>whe</w:t>
      </w:r>
      <w:r w:rsidR="00F33119">
        <w:t>n</w:t>
      </w:r>
      <w:r w:rsidR="008A0ACA">
        <w:t xml:space="preserve"> it was reported that the college was 30% down on applications</w:t>
      </w:r>
      <w:r w:rsidR="00523243">
        <w:t xml:space="preserve"> in comparison to this time last year</w:t>
      </w:r>
      <w:r w:rsidR="00CA5C6B">
        <w:t>.  A</w:t>
      </w:r>
      <w:r w:rsidR="008D15AC">
        <w:t>t the time of writing</w:t>
      </w:r>
      <w:r w:rsidR="00CA5C6B">
        <w:t>,</w:t>
      </w:r>
      <w:r w:rsidR="008D15AC">
        <w:t xml:space="preserve"> applications </w:t>
      </w:r>
      <w:r w:rsidR="003A4814">
        <w:t xml:space="preserve">were </w:t>
      </w:r>
      <w:r w:rsidR="00CA5C6B">
        <w:t xml:space="preserve">now </w:t>
      </w:r>
      <w:r w:rsidR="00523243">
        <w:t>1</w:t>
      </w:r>
      <w:r w:rsidR="008D15AC">
        <w:t>6</w:t>
      </w:r>
      <w:r w:rsidR="00523243">
        <w:t>%</w:t>
      </w:r>
      <w:r w:rsidR="008D15AC">
        <w:t xml:space="preserve"> down. </w:t>
      </w:r>
      <w:r w:rsidR="00C31FC4">
        <w:t xml:space="preserve"> </w:t>
      </w:r>
      <w:r w:rsidR="006275D7">
        <w:t xml:space="preserve">Whilst FT applications are almost in line with last year, it is our PT courses </w:t>
      </w:r>
      <w:r w:rsidR="00FF2DF0">
        <w:t>which have</w:t>
      </w:r>
      <w:r w:rsidR="006275D7">
        <w:t xml:space="preserve"> been slower to recruit. </w:t>
      </w:r>
      <w:r w:rsidR="00FF2DF0">
        <w:t xml:space="preserve"> There is a mixed </w:t>
      </w:r>
      <w:r w:rsidR="00CC0AFD">
        <w:t xml:space="preserve">picture across the college sector, </w:t>
      </w:r>
      <w:r w:rsidR="00B45DC0">
        <w:rPr>
          <w:rFonts w:cs="Arial"/>
        </w:rPr>
        <w:t xml:space="preserve">with some colleges, such as West of Scotland and North East College Scotland reporting a similar (20%) decrease in applications, whereas other colleges are reporting only a slight decrease (or on par) in applications year-on-year. </w:t>
      </w:r>
    </w:p>
    <w:p w14:paraId="4EA5FA7F" w14:textId="2576B523" w:rsidR="00556320" w:rsidRPr="00F9489D" w:rsidRDefault="004974BE" w:rsidP="00556320">
      <w:pPr>
        <w:pStyle w:val="Bulletlist"/>
      </w:pPr>
      <w:r w:rsidRPr="00F9489D">
        <w:rPr>
          <w:b/>
          <w:bCs/>
        </w:rPr>
        <w:t xml:space="preserve">Marketing and Communication </w:t>
      </w:r>
    </w:p>
    <w:p w14:paraId="2969A488" w14:textId="77777777" w:rsidR="00A30912" w:rsidRDefault="000D5030" w:rsidP="00A30912">
      <w:pPr>
        <w:pStyle w:val="Bulletlist"/>
        <w:numPr>
          <w:ilvl w:val="1"/>
          <w:numId w:val="6"/>
        </w:numPr>
      </w:pPr>
      <w:r>
        <w:t xml:space="preserve">We are pleased to announce that SLC has been </w:t>
      </w:r>
      <w:r w:rsidR="00D2316F">
        <w:t xml:space="preserve">shortlisted </w:t>
      </w:r>
      <w:r w:rsidR="00460629">
        <w:t>as a finalist for the Herald Higher Education Awards in the Outstanding Business of the Year Category.</w:t>
      </w:r>
      <w:r w:rsidR="00F9489D">
        <w:t xml:space="preserve"> </w:t>
      </w:r>
      <w:r w:rsidR="00460629">
        <w:t xml:space="preserve"> </w:t>
      </w:r>
      <w:r w:rsidR="00A64A70">
        <w:t xml:space="preserve">The submission was based on our innovative approach </w:t>
      </w:r>
      <w:r w:rsidR="00524C51">
        <w:t xml:space="preserve">to delivering employers’ workforce development needs and detailed our partnership with South Lanarkshire Council to upskill Lanarkshire’s </w:t>
      </w:r>
      <w:r w:rsidR="000A1656">
        <w:t xml:space="preserve">care sector workers. </w:t>
      </w:r>
      <w:r w:rsidR="00737EA1">
        <w:t xml:space="preserve"> </w:t>
      </w:r>
      <w:r w:rsidR="000A1656">
        <w:t xml:space="preserve">The online event takes place on 17 June 2021. </w:t>
      </w:r>
    </w:p>
    <w:p w14:paraId="3DC900B8" w14:textId="4F071259" w:rsidR="00E01FD0" w:rsidRDefault="008D1A56" w:rsidP="00A30912">
      <w:pPr>
        <w:pStyle w:val="Bulletlist"/>
        <w:numPr>
          <w:ilvl w:val="1"/>
          <w:numId w:val="6"/>
        </w:numPr>
      </w:pPr>
      <w:r w:rsidRPr="00A30912">
        <w:rPr>
          <w:rFonts w:cs="Arial"/>
        </w:rPr>
        <w:t xml:space="preserve">The </w:t>
      </w:r>
      <w:r w:rsidR="00EE0E9B" w:rsidRPr="00A30912">
        <w:rPr>
          <w:rFonts w:cs="Arial"/>
        </w:rPr>
        <w:t>Marketing Team ha</w:t>
      </w:r>
      <w:r w:rsidR="007B0B87" w:rsidRPr="00A30912">
        <w:rPr>
          <w:rFonts w:cs="Arial"/>
        </w:rPr>
        <w:t>s</w:t>
      </w:r>
      <w:r w:rsidR="00EE0E9B" w:rsidRPr="00A30912">
        <w:rPr>
          <w:rFonts w:cs="Arial"/>
        </w:rPr>
        <w:t xml:space="preserve"> bene analysing website traffic and reviewing its efficacy, and n</w:t>
      </w:r>
      <w:r w:rsidR="00211022" w:rsidRPr="00A30912">
        <w:rPr>
          <w:rFonts w:cs="Arial"/>
        </w:rPr>
        <w:t xml:space="preserve">ew users to the website </w:t>
      </w:r>
      <w:r w:rsidR="007B0B87" w:rsidRPr="00A30912">
        <w:rPr>
          <w:rFonts w:cs="Arial"/>
          <w:iCs w:val="0"/>
        </w:rPr>
        <w:t xml:space="preserve">continue to decline - </w:t>
      </w:r>
      <w:r w:rsidR="00211022" w:rsidRPr="00A30912">
        <w:rPr>
          <w:rFonts w:cs="Arial"/>
        </w:rPr>
        <w:t xml:space="preserve">down by 1% for the period 1 </w:t>
      </w:r>
      <w:r w:rsidR="00604996" w:rsidRPr="00A30912">
        <w:rPr>
          <w:rFonts w:cs="Arial"/>
        </w:rPr>
        <w:t>Feb</w:t>
      </w:r>
      <w:r w:rsidR="00604996" w:rsidRPr="00A30912">
        <w:rPr>
          <w:rFonts w:cs="Arial"/>
          <w:iCs w:val="0"/>
        </w:rPr>
        <w:t>ruary</w:t>
      </w:r>
      <w:r w:rsidR="00211022" w:rsidRPr="00A30912">
        <w:rPr>
          <w:rFonts w:cs="Arial"/>
        </w:rPr>
        <w:t xml:space="preserve"> 2021 – 5 Apr</w:t>
      </w:r>
      <w:r w:rsidR="007B0B87" w:rsidRPr="00A30912">
        <w:rPr>
          <w:rFonts w:cs="Arial"/>
          <w:iCs w:val="0"/>
        </w:rPr>
        <w:t>il</w:t>
      </w:r>
      <w:r w:rsidR="00211022" w:rsidRPr="00A30912">
        <w:rPr>
          <w:rFonts w:cs="Arial"/>
        </w:rPr>
        <w:t xml:space="preserve"> 2021 in comparison to last year</w:t>
      </w:r>
      <w:r w:rsidR="007B0B87" w:rsidRPr="00A30912">
        <w:rPr>
          <w:rFonts w:cs="Arial"/>
          <w:iCs w:val="0"/>
        </w:rPr>
        <w:t>.</w:t>
      </w:r>
      <w:r w:rsidR="00211022" w:rsidRPr="00A30912">
        <w:rPr>
          <w:rFonts w:cs="Arial"/>
        </w:rPr>
        <w:t xml:space="preserve">  </w:t>
      </w:r>
      <w:r w:rsidR="00E01FD0" w:rsidRPr="00A30912">
        <w:rPr>
          <w:rFonts w:cs="Arial"/>
          <w:iCs w:val="0"/>
        </w:rPr>
        <w:t xml:space="preserve">As noted at our last Board meeting, we are in the early stages of considering our approach to </w:t>
      </w:r>
      <w:r w:rsidR="00E01FD0">
        <w:t>refreshing our marketing and brand awareness</w:t>
      </w:r>
      <w:r w:rsidR="00A30912">
        <w:t xml:space="preserve">, which will include a </w:t>
      </w:r>
      <w:r w:rsidR="00E01FD0">
        <w:t>re-build of our website</w:t>
      </w:r>
      <w:r w:rsidR="00A30912">
        <w:t>, to ensure it meets the needs of all our stakeholders</w:t>
      </w:r>
      <w:r w:rsidR="00E01FD0">
        <w:t>.</w:t>
      </w:r>
      <w:r w:rsidR="00A30912">
        <w:t xml:space="preserve">  Updates on progress will be provided in due course.  </w:t>
      </w:r>
      <w:r w:rsidR="00E01FD0">
        <w:t xml:space="preserve"> </w:t>
      </w:r>
    </w:p>
    <w:p w14:paraId="279DA5AB" w14:textId="1C1FE6A0" w:rsidR="00211022" w:rsidRDefault="00211022" w:rsidP="007A1F1A">
      <w:pPr>
        <w:pStyle w:val="Bulletlist"/>
        <w:numPr>
          <w:ilvl w:val="1"/>
          <w:numId w:val="6"/>
        </w:numPr>
      </w:pPr>
      <w:r w:rsidRPr="007A1F1A">
        <w:rPr>
          <w:rFonts w:cs="Arial"/>
        </w:rPr>
        <w:t>In the meantime, website updates and improvements are ongoing, such as streamlining the number of pages, as well as reviewing the content.  As part of the improvement to the website content, a virtual campus tour can now be foun</w:t>
      </w:r>
      <w:r w:rsidR="00EA11C9">
        <w:rPr>
          <w:rFonts w:cs="Arial"/>
        </w:rPr>
        <w:t xml:space="preserve">d </w:t>
      </w:r>
      <w:hyperlink r:id="rId10" w:history="1">
        <w:r w:rsidR="00EA11C9" w:rsidRPr="00EA11C9">
          <w:rPr>
            <w:rStyle w:val="Hyperlink"/>
            <w:rFonts w:cs="Arial"/>
          </w:rPr>
          <w:t>here</w:t>
        </w:r>
      </w:hyperlink>
      <w:r w:rsidR="00EA11C9">
        <w:rPr>
          <w:rFonts w:cs="Arial"/>
        </w:rPr>
        <w:t xml:space="preserve">.  </w:t>
      </w:r>
    </w:p>
    <w:p w14:paraId="7C6C948D" w14:textId="2966CFEB" w:rsidR="001F69CC" w:rsidRDefault="001F69CC" w:rsidP="00556320">
      <w:pPr>
        <w:pStyle w:val="Bulletlist"/>
        <w:numPr>
          <w:ilvl w:val="1"/>
          <w:numId w:val="6"/>
        </w:numPr>
      </w:pPr>
      <w:r>
        <w:t xml:space="preserve">Our new fortnightly </w:t>
      </w:r>
      <w:r w:rsidR="00F547B5">
        <w:t>newsletter continues to receive positive feedback and is now being circulated to all Board members for the</w:t>
      </w:r>
      <w:r w:rsidR="00D55460">
        <w:t>ir information</w:t>
      </w:r>
      <w:r w:rsidR="00F547B5">
        <w:t xml:space="preserve">. </w:t>
      </w:r>
    </w:p>
    <w:p w14:paraId="7D860571" w14:textId="1C076BFA" w:rsidR="00556320" w:rsidRDefault="00460996" w:rsidP="00556320">
      <w:pPr>
        <w:pStyle w:val="Bulletlist"/>
        <w:numPr>
          <w:ilvl w:val="1"/>
          <w:numId w:val="6"/>
        </w:numPr>
      </w:pPr>
      <w:r>
        <w:t xml:space="preserve">There continues to be a range of positive press for the college and </w:t>
      </w:r>
      <w:r w:rsidR="00EA11C9">
        <w:t xml:space="preserve">a full list </w:t>
      </w:r>
      <w:r w:rsidR="00E340F0">
        <w:t xml:space="preserve">of </w:t>
      </w:r>
      <w:r w:rsidR="001F69CC">
        <w:t xml:space="preserve">press </w:t>
      </w:r>
      <w:r w:rsidR="00E340F0">
        <w:t xml:space="preserve">articles are in Annex </w:t>
      </w:r>
      <w:r w:rsidR="0014320D">
        <w:t>B</w:t>
      </w:r>
      <w:r w:rsidR="00E340F0">
        <w:t xml:space="preserve">. </w:t>
      </w:r>
    </w:p>
    <w:p w14:paraId="198BA967" w14:textId="4C923078" w:rsidR="00556320" w:rsidRPr="001C2C70" w:rsidRDefault="00CF4F7D" w:rsidP="001C2C70">
      <w:pPr>
        <w:pStyle w:val="Bulletlist"/>
      </w:pPr>
      <w:r w:rsidRPr="001C2C70">
        <w:rPr>
          <w:b/>
          <w:bCs/>
        </w:rPr>
        <w:t>GOOD NEWS STORIES</w:t>
      </w:r>
    </w:p>
    <w:p w14:paraId="66EABF67" w14:textId="77777777" w:rsidR="00A026BB" w:rsidRDefault="004D0F05" w:rsidP="00E81180">
      <w:pPr>
        <w:pStyle w:val="Bulletlist"/>
        <w:numPr>
          <w:ilvl w:val="1"/>
          <w:numId w:val="6"/>
        </w:numPr>
      </w:pPr>
      <w:r>
        <w:t xml:space="preserve"> SLC has been </w:t>
      </w:r>
      <w:r w:rsidR="007A2C0B">
        <w:t xml:space="preserve">awarded £150k </w:t>
      </w:r>
      <w:r w:rsidR="000C078B">
        <w:t>from the SSE Sustainable Development Fund</w:t>
      </w:r>
      <w:r w:rsidR="007A2C0B">
        <w:t xml:space="preserve"> for its </w:t>
      </w:r>
      <w:r w:rsidR="00201CCE">
        <w:t>External Wall Insulation Academy</w:t>
      </w:r>
      <w:r w:rsidR="000C078B">
        <w:t xml:space="preserve">. </w:t>
      </w:r>
      <w:r w:rsidR="00B26EF1">
        <w:t xml:space="preserve"> </w:t>
      </w:r>
      <w:r w:rsidR="00B02068">
        <w:t xml:space="preserve">Our project </w:t>
      </w:r>
      <w:r w:rsidR="00C52766">
        <w:t xml:space="preserve">supports the green job recovery </w:t>
      </w:r>
      <w:r w:rsidR="00E71685">
        <w:t>and</w:t>
      </w:r>
      <w:r w:rsidR="00C52766">
        <w:t xml:space="preserve"> promotes Scotland’s green agenda</w:t>
      </w:r>
      <w:r w:rsidR="00E40550">
        <w:t xml:space="preserve">. </w:t>
      </w:r>
      <w:r w:rsidR="00C52766">
        <w:t xml:space="preserve"> SSE </w:t>
      </w:r>
      <w:r w:rsidR="00364B07">
        <w:t xml:space="preserve">is </w:t>
      </w:r>
      <w:r w:rsidR="00C52766">
        <w:t xml:space="preserve">one of the sponsors of COP26. </w:t>
      </w:r>
      <w:r w:rsidR="00364B07">
        <w:t xml:space="preserve"> </w:t>
      </w:r>
      <w:r w:rsidR="00E40550">
        <w:t xml:space="preserve">The Chair of </w:t>
      </w:r>
      <w:r w:rsidR="00DD0ED3">
        <w:t>the SSE Sustainable Development Fund, Lord McConnell</w:t>
      </w:r>
      <w:r w:rsidR="00364B07">
        <w:t xml:space="preserve">, </w:t>
      </w:r>
      <w:r w:rsidR="00DD0ED3">
        <w:t xml:space="preserve">has selected the college </w:t>
      </w:r>
      <w:r w:rsidR="00D47BC2">
        <w:t xml:space="preserve">as the base to announce the other successful applicants. </w:t>
      </w:r>
      <w:r w:rsidR="00A026BB">
        <w:t xml:space="preserve"> </w:t>
      </w:r>
      <w:r w:rsidR="003062C3">
        <w:t>We are delighted that our project and facilities will be showcased through this event</w:t>
      </w:r>
      <w:r w:rsidR="00A026BB">
        <w:t>, due to take place on 11 June</w:t>
      </w:r>
      <w:r w:rsidR="00D47BC2">
        <w:t>.</w:t>
      </w:r>
    </w:p>
    <w:p w14:paraId="51AD59AD" w14:textId="73F61BEB" w:rsidR="00CF2B15" w:rsidRDefault="00A026BB" w:rsidP="00E81180">
      <w:pPr>
        <w:pStyle w:val="Bulletlist"/>
        <w:numPr>
          <w:ilvl w:val="1"/>
          <w:numId w:val="6"/>
        </w:numPr>
      </w:pPr>
      <w:r>
        <w:t xml:space="preserve">The Principal has been invited to Chair the inaugural review of the Donegal Education and Training Board, work on which commenced on 24 May.  She has also been invited to participate in the Open University in Scotland’s External Advisory Board. </w:t>
      </w:r>
      <w:r w:rsidR="00D47BC2">
        <w:t xml:space="preserve"> </w:t>
      </w:r>
    </w:p>
    <w:p w14:paraId="61543D54" w14:textId="77777777" w:rsidR="0014320D" w:rsidRDefault="0014320D">
      <w:pPr>
        <w:sectPr w:rsidR="0014320D" w:rsidSect="004458F9">
          <w:headerReference w:type="default" r:id="rId11"/>
          <w:footerReference w:type="default" r:id="rId12"/>
          <w:pgSz w:w="11906" w:h="16838"/>
          <w:pgMar w:top="1134" w:right="1440" w:bottom="1134" w:left="1440" w:header="709" w:footer="709" w:gutter="0"/>
          <w:cols w:space="708"/>
          <w:docGrid w:linePitch="360"/>
        </w:sectPr>
      </w:pPr>
    </w:p>
    <w:p w14:paraId="07747218" w14:textId="1FAF1ACC" w:rsidR="00CF2B15" w:rsidRDefault="00CF2B15" w:rsidP="0040045B">
      <w:r w:rsidRPr="00CF2B15">
        <w:rPr>
          <w:b/>
          <w:bCs/>
        </w:rPr>
        <w:lastRenderedPageBreak/>
        <w:t>ANNEX A</w:t>
      </w:r>
      <w:r w:rsidRPr="00CF2B15">
        <w:rPr>
          <w:b/>
          <w:bCs/>
        </w:rPr>
        <w:br/>
      </w:r>
    </w:p>
    <w:p w14:paraId="1BA3C05B" w14:textId="6E3A90F1" w:rsidR="0014320D" w:rsidRDefault="00EA27CC" w:rsidP="0040045B">
      <w:r w:rsidRPr="00EA27CC">
        <w:rPr>
          <w:noProof/>
        </w:rPr>
        <w:drawing>
          <wp:inline distT="0" distB="0" distL="0" distR="0" wp14:anchorId="5C0191C3" wp14:editId="25927FBD">
            <wp:extent cx="9251950" cy="44767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4476750"/>
                    </a:xfrm>
                    <a:prstGeom prst="rect">
                      <a:avLst/>
                    </a:prstGeom>
                    <a:noFill/>
                    <a:ln>
                      <a:noFill/>
                    </a:ln>
                  </pic:spPr>
                </pic:pic>
              </a:graphicData>
            </a:graphic>
          </wp:inline>
        </w:drawing>
      </w:r>
    </w:p>
    <w:p w14:paraId="3501D4DB" w14:textId="003B2AF0" w:rsidR="0014320D" w:rsidRDefault="0014320D" w:rsidP="0040045B"/>
    <w:p w14:paraId="4BCCD90F" w14:textId="77777777" w:rsidR="00EA27CC" w:rsidRDefault="00EA27CC" w:rsidP="0040045B">
      <w:pPr>
        <w:sectPr w:rsidR="00EA27CC" w:rsidSect="00EA27CC">
          <w:pgSz w:w="16838" w:h="11906" w:orient="landscape"/>
          <w:pgMar w:top="1440" w:right="1134" w:bottom="1440" w:left="1134" w:header="709" w:footer="709" w:gutter="0"/>
          <w:cols w:space="708"/>
          <w:docGrid w:linePitch="360"/>
        </w:sectPr>
      </w:pPr>
    </w:p>
    <w:p w14:paraId="3ED5807D" w14:textId="56C5CF31" w:rsidR="0014320D" w:rsidRDefault="00EA27CC">
      <w:pPr>
        <w:rPr>
          <w:rFonts w:cs="Arial"/>
          <w:b/>
          <w:bCs/>
          <w:i/>
          <w:iCs/>
        </w:rPr>
      </w:pPr>
      <w:r w:rsidRPr="00EA27CC">
        <w:rPr>
          <w:rFonts w:cs="Arial"/>
          <w:b/>
          <w:bCs/>
        </w:rPr>
        <w:lastRenderedPageBreak/>
        <w:t>ANNEX B</w:t>
      </w:r>
    </w:p>
    <w:p w14:paraId="748F40FD" w14:textId="63C605B3" w:rsidR="004E3C8E" w:rsidRPr="004E3C8E" w:rsidRDefault="004E3C8E" w:rsidP="004E3C8E">
      <w:pPr>
        <w:spacing w:line="240" w:lineRule="auto"/>
        <w:rPr>
          <w:rFonts w:cs="Arial"/>
          <w:b/>
          <w:bCs/>
          <w:i/>
          <w:iCs/>
        </w:rPr>
      </w:pPr>
      <w:r w:rsidRPr="004E3C8E">
        <w:rPr>
          <w:rFonts w:cs="Arial"/>
          <w:b/>
          <w:bCs/>
          <w:i/>
          <w:iCs/>
        </w:rPr>
        <w:t>Recruitment Activity</w:t>
      </w:r>
    </w:p>
    <w:p w14:paraId="737AB963" w14:textId="5CA9AE44" w:rsidR="004E3C8E" w:rsidRPr="004E3C8E" w:rsidRDefault="004E3C8E" w:rsidP="004E3C8E">
      <w:pPr>
        <w:spacing w:line="240" w:lineRule="auto"/>
        <w:rPr>
          <w:rFonts w:cs="Arial"/>
        </w:rPr>
      </w:pPr>
      <w:r w:rsidRPr="004E3C8E">
        <w:rPr>
          <w:rFonts w:cs="Arial"/>
        </w:rPr>
        <w:t xml:space="preserve">This includes a range of integrated activities, which are currently in place and are listed below, please click on the link for more detail. </w:t>
      </w:r>
    </w:p>
    <w:p w14:paraId="4627034D" w14:textId="77777777" w:rsidR="004E3C8E" w:rsidRPr="004E3C8E" w:rsidRDefault="006303E3" w:rsidP="004E3C8E">
      <w:pPr>
        <w:pStyle w:val="ListParagraph"/>
        <w:numPr>
          <w:ilvl w:val="0"/>
          <w:numId w:val="14"/>
        </w:numPr>
        <w:rPr>
          <w:rFonts w:cs="Arial"/>
        </w:rPr>
      </w:pPr>
      <w:hyperlink r:id="rId14" w:history="1">
        <w:r w:rsidR="004E3C8E" w:rsidRPr="004E3C8E">
          <w:rPr>
            <w:rFonts w:cs="Arial"/>
            <w:color w:val="0000FF" w:themeColor="hyperlink"/>
            <w:u w:val="single"/>
          </w:rPr>
          <w:t>Paid social campaign</w:t>
        </w:r>
      </w:hyperlink>
      <w:r w:rsidR="004E3C8E" w:rsidRPr="004E3C8E">
        <w:rPr>
          <w:rFonts w:cs="Arial"/>
        </w:rPr>
        <w:t xml:space="preserve"> (Facebook, Snapchat, Instagram, Google Ads/ retargeting and Youtube) </w:t>
      </w:r>
    </w:p>
    <w:p w14:paraId="61B67005" w14:textId="77777777" w:rsidR="004E3C8E" w:rsidRPr="004E3C8E" w:rsidRDefault="004E3C8E" w:rsidP="004E3C8E">
      <w:pPr>
        <w:pStyle w:val="ListParagraph"/>
        <w:numPr>
          <w:ilvl w:val="0"/>
          <w:numId w:val="14"/>
        </w:numPr>
        <w:rPr>
          <w:rFonts w:cs="Arial"/>
        </w:rPr>
      </w:pPr>
      <w:r w:rsidRPr="004E3C8E">
        <w:rPr>
          <w:rFonts w:cs="Arial"/>
        </w:rPr>
        <w:t xml:space="preserve">Organic social activity </w:t>
      </w:r>
    </w:p>
    <w:p w14:paraId="2EF461DC" w14:textId="77777777" w:rsidR="004E3C8E" w:rsidRPr="004E3C8E" w:rsidRDefault="006303E3" w:rsidP="004E3C8E">
      <w:pPr>
        <w:pStyle w:val="ListParagraph"/>
        <w:numPr>
          <w:ilvl w:val="0"/>
          <w:numId w:val="14"/>
        </w:numPr>
        <w:rPr>
          <w:rFonts w:cs="Arial"/>
        </w:rPr>
      </w:pPr>
      <w:hyperlink r:id="rId15" w:history="1">
        <w:r w:rsidR="004E3C8E" w:rsidRPr="004E3C8E">
          <w:rPr>
            <w:rFonts w:cs="Arial"/>
            <w:color w:val="0000FF" w:themeColor="hyperlink"/>
            <w:u w:val="single"/>
          </w:rPr>
          <w:t>Go Radio</w:t>
        </w:r>
      </w:hyperlink>
      <w:r w:rsidR="004E3C8E" w:rsidRPr="004E3C8E">
        <w:rPr>
          <w:rFonts w:cs="Arial"/>
        </w:rPr>
        <w:t xml:space="preserve"> and </w:t>
      </w:r>
      <w:hyperlink r:id="rId16" w:history="1">
        <w:r w:rsidR="004E3C8E" w:rsidRPr="004E3C8E">
          <w:rPr>
            <w:rFonts w:cs="Arial"/>
            <w:color w:val="0000FF" w:themeColor="hyperlink"/>
            <w:u w:val="single"/>
          </w:rPr>
          <w:t>Pure Radio</w:t>
        </w:r>
      </w:hyperlink>
      <w:r w:rsidR="004E3C8E" w:rsidRPr="004E3C8E">
        <w:rPr>
          <w:rFonts w:cs="Arial"/>
        </w:rPr>
        <w:t xml:space="preserve"> adverts and evening sponsorship</w:t>
      </w:r>
    </w:p>
    <w:p w14:paraId="705AF9EE" w14:textId="77777777" w:rsidR="004E3C8E" w:rsidRPr="004E3C8E" w:rsidRDefault="006303E3" w:rsidP="004E3C8E">
      <w:pPr>
        <w:pStyle w:val="ListParagraph"/>
        <w:numPr>
          <w:ilvl w:val="0"/>
          <w:numId w:val="14"/>
        </w:numPr>
        <w:rPr>
          <w:rFonts w:cs="Arial"/>
        </w:rPr>
      </w:pPr>
      <w:hyperlink r:id="rId17" w:history="1">
        <w:r w:rsidR="004E3C8E" w:rsidRPr="004E3C8E">
          <w:rPr>
            <w:rFonts w:cs="Arial"/>
            <w:color w:val="0000FF" w:themeColor="hyperlink"/>
            <w:u w:val="single"/>
          </w:rPr>
          <w:t>Outdoor advertising</w:t>
        </w:r>
      </w:hyperlink>
      <w:r w:rsidR="004E3C8E" w:rsidRPr="004E3C8E">
        <w:rPr>
          <w:rFonts w:cs="Arial"/>
        </w:rPr>
        <w:t xml:space="preserve"> </w:t>
      </w:r>
    </w:p>
    <w:p w14:paraId="6D330476" w14:textId="77777777" w:rsidR="004E3C8E" w:rsidRPr="004E3C8E" w:rsidRDefault="006303E3" w:rsidP="004E3C8E">
      <w:pPr>
        <w:pStyle w:val="ListParagraph"/>
        <w:numPr>
          <w:ilvl w:val="0"/>
          <w:numId w:val="14"/>
        </w:numPr>
        <w:rPr>
          <w:rFonts w:cs="Arial"/>
        </w:rPr>
      </w:pPr>
      <w:hyperlink r:id="rId18" w:history="1">
        <w:r w:rsidR="004E3C8E" w:rsidRPr="004E3C8E">
          <w:rPr>
            <w:rFonts w:cs="Arial"/>
            <w:color w:val="0000FF" w:themeColor="hyperlink"/>
            <w:u w:val="single"/>
          </w:rPr>
          <w:t>Door drop</w:t>
        </w:r>
      </w:hyperlink>
      <w:r w:rsidR="004E3C8E" w:rsidRPr="004E3C8E">
        <w:rPr>
          <w:rFonts w:cs="Arial"/>
        </w:rPr>
        <w:t xml:space="preserve"> – 21,470 South Lanarkshire addresses circulated w/c 15 </w:t>
      </w:r>
      <w:proofErr w:type="gramStart"/>
      <w:r w:rsidR="004E3C8E" w:rsidRPr="004E3C8E">
        <w:rPr>
          <w:rFonts w:cs="Arial"/>
        </w:rPr>
        <w:t>March</w:t>
      </w:r>
      <w:proofErr w:type="gramEnd"/>
    </w:p>
    <w:p w14:paraId="593F1D60" w14:textId="77777777" w:rsidR="004E3C8E" w:rsidRPr="004E3C8E" w:rsidRDefault="004E3C8E" w:rsidP="004E3C8E">
      <w:pPr>
        <w:pStyle w:val="ListParagraph"/>
        <w:numPr>
          <w:ilvl w:val="0"/>
          <w:numId w:val="14"/>
        </w:numPr>
        <w:rPr>
          <w:rFonts w:cs="Arial"/>
        </w:rPr>
      </w:pPr>
      <w:r w:rsidRPr="004E3C8E">
        <w:rPr>
          <w:rFonts w:cs="Arial"/>
        </w:rPr>
        <w:t xml:space="preserve">Advertorial content – see </w:t>
      </w:r>
      <w:hyperlink r:id="rId19" w:history="1">
        <w:r w:rsidRPr="004E3C8E">
          <w:rPr>
            <w:rFonts w:cs="Arial"/>
            <w:color w:val="0000FF" w:themeColor="hyperlink"/>
            <w:u w:val="single"/>
          </w:rPr>
          <w:t>Look to your future</w:t>
        </w:r>
      </w:hyperlink>
      <w:r w:rsidRPr="004E3C8E">
        <w:rPr>
          <w:rFonts w:cs="Arial"/>
          <w:color w:val="0000FF" w:themeColor="hyperlink"/>
          <w:u w:val="single"/>
        </w:rPr>
        <w:t xml:space="preserve"> for an example</w:t>
      </w:r>
    </w:p>
    <w:p w14:paraId="6556C51D" w14:textId="77777777" w:rsidR="004E3C8E" w:rsidRPr="004E3C8E" w:rsidRDefault="004E3C8E" w:rsidP="004E3C8E">
      <w:pPr>
        <w:pStyle w:val="ListParagraph"/>
        <w:numPr>
          <w:ilvl w:val="0"/>
          <w:numId w:val="14"/>
        </w:numPr>
        <w:rPr>
          <w:rFonts w:cs="Arial"/>
        </w:rPr>
      </w:pPr>
      <w:r w:rsidRPr="004E3C8E">
        <w:rPr>
          <w:rFonts w:cs="Arial"/>
        </w:rPr>
        <w:t xml:space="preserve">New banners around the campus. </w:t>
      </w:r>
    </w:p>
    <w:p w14:paraId="4CD4D030" w14:textId="77777777" w:rsidR="004E3C8E" w:rsidRPr="004E3C8E" w:rsidRDefault="004E3C8E" w:rsidP="004E3C8E">
      <w:pPr>
        <w:pStyle w:val="ListParagraph"/>
        <w:numPr>
          <w:ilvl w:val="0"/>
          <w:numId w:val="14"/>
        </w:numPr>
        <w:rPr>
          <w:rFonts w:cs="Arial"/>
        </w:rPr>
      </w:pPr>
      <w:r w:rsidRPr="004E3C8E">
        <w:rPr>
          <w:rFonts w:cs="Arial"/>
        </w:rPr>
        <w:t xml:space="preserve">Direct communications to schools, Skills Development Scotland careers guidance service, </w:t>
      </w:r>
      <w:proofErr w:type="gramStart"/>
      <w:r w:rsidRPr="004E3C8E">
        <w:rPr>
          <w:rFonts w:cs="Arial"/>
        </w:rPr>
        <w:t>partners</w:t>
      </w:r>
      <w:proofErr w:type="gramEnd"/>
      <w:r w:rsidRPr="004E3C8E">
        <w:rPr>
          <w:rFonts w:cs="Arial"/>
        </w:rPr>
        <w:t xml:space="preserve"> and enquiries. </w:t>
      </w:r>
    </w:p>
    <w:p w14:paraId="1B43956F" w14:textId="77777777" w:rsidR="004E3C8E" w:rsidRPr="004E3C8E" w:rsidRDefault="006303E3" w:rsidP="004E3C8E">
      <w:pPr>
        <w:pStyle w:val="ListParagraph"/>
        <w:numPr>
          <w:ilvl w:val="0"/>
          <w:numId w:val="14"/>
        </w:numPr>
        <w:rPr>
          <w:rFonts w:cs="Arial"/>
        </w:rPr>
      </w:pPr>
      <w:hyperlink r:id="rId20" w:history="1">
        <w:r w:rsidR="004E3C8E" w:rsidRPr="004E3C8E">
          <w:rPr>
            <w:rFonts w:cs="Arial"/>
            <w:color w:val="0000FF" w:themeColor="hyperlink"/>
            <w:u w:val="single"/>
          </w:rPr>
          <w:t>Press advertising</w:t>
        </w:r>
      </w:hyperlink>
      <w:r w:rsidR="004E3C8E" w:rsidRPr="004E3C8E">
        <w:rPr>
          <w:rFonts w:cs="Arial"/>
        </w:rPr>
        <w:t xml:space="preserve"> </w:t>
      </w:r>
    </w:p>
    <w:p w14:paraId="0AC88E8E" w14:textId="77777777" w:rsidR="004E3C8E" w:rsidRPr="004E3C8E" w:rsidRDefault="004E3C8E" w:rsidP="004E3C8E">
      <w:pPr>
        <w:pStyle w:val="ListParagraph"/>
        <w:numPr>
          <w:ilvl w:val="0"/>
          <w:numId w:val="14"/>
        </w:numPr>
        <w:rPr>
          <w:rFonts w:cs="Arial"/>
        </w:rPr>
      </w:pPr>
      <w:r w:rsidRPr="004E3C8E">
        <w:rPr>
          <w:rFonts w:cs="Arial"/>
        </w:rPr>
        <w:t xml:space="preserve">Hamilton Academical FC advertising: including pitch </w:t>
      </w:r>
      <w:proofErr w:type="gramStart"/>
      <w:r w:rsidRPr="004E3C8E">
        <w:rPr>
          <w:rFonts w:cs="Arial"/>
        </w:rPr>
        <w:t>side board</w:t>
      </w:r>
      <w:proofErr w:type="gramEnd"/>
      <w:r w:rsidRPr="004E3C8E">
        <w:rPr>
          <w:rFonts w:cs="Arial"/>
        </w:rPr>
        <w:t xml:space="preserve">, Hamilton TV, ad, interview flash and website presence (this is currently in production) </w:t>
      </w:r>
    </w:p>
    <w:p w14:paraId="4B119F26" w14:textId="77777777" w:rsidR="004E3C8E" w:rsidRPr="004E3C8E" w:rsidRDefault="004E3C8E" w:rsidP="004E3C8E">
      <w:pPr>
        <w:pStyle w:val="ListParagraph"/>
        <w:numPr>
          <w:ilvl w:val="0"/>
          <w:numId w:val="14"/>
        </w:numPr>
        <w:rPr>
          <w:rFonts w:cs="Arial"/>
        </w:rPr>
      </w:pPr>
      <w:r w:rsidRPr="004E3C8E">
        <w:rPr>
          <w:rFonts w:cs="Arial"/>
        </w:rPr>
        <w:t xml:space="preserve">Supporting the </w:t>
      </w:r>
      <w:hyperlink r:id="rId21" w:history="1">
        <w:r w:rsidRPr="004E3C8E">
          <w:rPr>
            <w:rFonts w:cs="Arial"/>
            <w:color w:val="0000FF" w:themeColor="hyperlink"/>
            <w:u w:val="single"/>
          </w:rPr>
          <w:t>#ChooseCollege</w:t>
        </w:r>
      </w:hyperlink>
      <w:r w:rsidRPr="004E3C8E">
        <w:rPr>
          <w:rFonts w:cs="Arial"/>
        </w:rPr>
        <w:t xml:space="preserve"> National college sector campaign </w:t>
      </w:r>
      <w:r w:rsidRPr="004E3C8E">
        <w:rPr>
          <w:rFonts w:cs="Arial"/>
        </w:rPr>
        <w:br/>
      </w:r>
    </w:p>
    <w:p w14:paraId="39B86EAD" w14:textId="4745147B" w:rsidR="004E3C8E" w:rsidRPr="004E3C8E" w:rsidRDefault="004E3C8E" w:rsidP="0040045B">
      <w:pPr>
        <w:rPr>
          <w:b/>
          <w:bCs/>
          <w:i/>
          <w:iCs/>
        </w:rPr>
      </w:pPr>
      <w:r w:rsidRPr="004E3C8E">
        <w:rPr>
          <w:b/>
          <w:bCs/>
          <w:i/>
          <w:iCs/>
        </w:rPr>
        <w:t>Press Activity</w:t>
      </w:r>
    </w:p>
    <w:p w14:paraId="2A1E3DCE" w14:textId="77777777" w:rsidR="00CF2B15" w:rsidRPr="00CF2B15" w:rsidRDefault="00CF2B15" w:rsidP="00CF2B15">
      <w:pPr>
        <w:spacing w:line="240" w:lineRule="auto"/>
        <w:rPr>
          <w:rFonts w:cs="Arial"/>
        </w:rPr>
      </w:pPr>
      <w:r w:rsidRPr="00CF2B15">
        <w:rPr>
          <w:rFonts w:cs="Arial"/>
        </w:rPr>
        <w:t xml:space="preserve">Examples of press activity in the past 3 months include the following articles, note that these are hyperlinks which can be clicked on to review the content of each article. </w:t>
      </w:r>
    </w:p>
    <w:p w14:paraId="6535C786" w14:textId="77777777" w:rsidR="00CF2B15" w:rsidRPr="00CF627B" w:rsidRDefault="00CF2B15" w:rsidP="00CF2B15">
      <w:pPr>
        <w:pStyle w:val="ListParagraph"/>
        <w:spacing w:line="240" w:lineRule="auto"/>
        <w:ind w:left="360"/>
        <w:rPr>
          <w:rFonts w:cs="Arial"/>
        </w:rPr>
      </w:pPr>
    </w:p>
    <w:p w14:paraId="5B3448A7" w14:textId="77777777" w:rsidR="00CF2B15" w:rsidRPr="004E3C8E" w:rsidRDefault="006303E3" w:rsidP="004E3C8E">
      <w:pPr>
        <w:pStyle w:val="ListParagraph"/>
        <w:numPr>
          <w:ilvl w:val="0"/>
          <w:numId w:val="15"/>
        </w:numPr>
        <w:rPr>
          <w:rFonts w:cs="Arial"/>
        </w:rPr>
      </w:pPr>
      <w:hyperlink r:id="rId22" w:history="1">
        <w:r w:rsidR="00CF2B15" w:rsidRPr="004E3C8E">
          <w:rPr>
            <w:rStyle w:val="Hyperlink"/>
            <w:rFonts w:cs="Arial"/>
          </w:rPr>
          <w:t>Pandemic has provided much food for thought at South Lanarkshire College</w:t>
        </w:r>
      </w:hyperlink>
    </w:p>
    <w:p w14:paraId="7FD41ADC" w14:textId="77777777" w:rsidR="00CF2B15" w:rsidRPr="004E3C8E" w:rsidRDefault="006303E3" w:rsidP="004E3C8E">
      <w:pPr>
        <w:pStyle w:val="ListParagraph"/>
        <w:numPr>
          <w:ilvl w:val="0"/>
          <w:numId w:val="15"/>
        </w:numPr>
        <w:rPr>
          <w:rFonts w:cs="Arial"/>
        </w:rPr>
      </w:pPr>
      <w:hyperlink r:id="rId23" w:history="1">
        <w:r w:rsidR="00CF2B15" w:rsidRPr="004E3C8E">
          <w:rPr>
            <w:rStyle w:val="Hyperlink"/>
            <w:rFonts w:cs="Arial"/>
          </w:rPr>
          <w:t>Your opportunity to find out more about college study</w:t>
        </w:r>
      </w:hyperlink>
      <w:r w:rsidR="00CF2B15" w:rsidRPr="004E3C8E">
        <w:rPr>
          <w:rFonts w:cs="Arial"/>
        </w:rPr>
        <w:t xml:space="preserve"> (advertorial)</w:t>
      </w:r>
    </w:p>
    <w:p w14:paraId="07177538" w14:textId="77777777" w:rsidR="00CF2B15" w:rsidRPr="004E3C8E" w:rsidRDefault="006303E3" w:rsidP="004E3C8E">
      <w:pPr>
        <w:pStyle w:val="ListParagraph"/>
        <w:numPr>
          <w:ilvl w:val="0"/>
          <w:numId w:val="15"/>
        </w:numPr>
        <w:rPr>
          <w:rFonts w:cs="Arial"/>
        </w:rPr>
      </w:pPr>
      <w:hyperlink r:id="rId24" w:history="1">
        <w:r w:rsidR="00CF2B15" w:rsidRPr="004E3C8E">
          <w:rPr>
            <w:rStyle w:val="Hyperlink"/>
            <w:rFonts w:cs="Arial"/>
          </w:rPr>
          <w:t>South Lanarkshire College welcomes new depute principal</w:t>
        </w:r>
      </w:hyperlink>
    </w:p>
    <w:p w14:paraId="29F88C3C" w14:textId="77777777" w:rsidR="00CF2B15" w:rsidRPr="004E3C8E" w:rsidRDefault="006303E3" w:rsidP="004E3C8E">
      <w:pPr>
        <w:pStyle w:val="ListParagraph"/>
        <w:numPr>
          <w:ilvl w:val="0"/>
          <w:numId w:val="15"/>
        </w:numPr>
        <w:rPr>
          <w:rFonts w:cs="Arial"/>
        </w:rPr>
      </w:pPr>
      <w:hyperlink r:id="rId25" w:history="1">
        <w:r w:rsidR="00CF2B15" w:rsidRPr="004E3C8E">
          <w:rPr>
            <w:rStyle w:val="Hyperlink"/>
            <w:rFonts w:cs="Arial"/>
          </w:rPr>
          <w:t>SOUTH LANARKSHIRE COLLEGE PREPARE TO WELCOME BACK STUDENTS</w:t>
        </w:r>
      </w:hyperlink>
      <w:r w:rsidR="00CF2B15" w:rsidRPr="004E3C8E">
        <w:rPr>
          <w:rFonts w:cs="Arial"/>
        </w:rPr>
        <w:t xml:space="preserve"> (also in offline local press)</w:t>
      </w:r>
    </w:p>
    <w:p w14:paraId="3F2897B0" w14:textId="77777777" w:rsidR="00CF2B15" w:rsidRPr="004E3C8E" w:rsidRDefault="006303E3" w:rsidP="004E3C8E">
      <w:pPr>
        <w:pStyle w:val="ListParagraph"/>
        <w:numPr>
          <w:ilvl w:val="0"/>
          <w:numId w:val="15"/>
        </w:numPr>
        <w:rPr>
          <w:rFonts w:cs="Arial"/>
        </w:rPr>
      </w:pPr>
      <w:hyperlink r:id="rId26" w:history="1">
        <w:r w:rsidR="00CF2B15" w:rsidRPr="004E3C8E">
          <w:rPr>
            <w:rStyle w:val="Hyperlink"/>
            <w:rFonts w:cs="Arial"/>
          </w:rPr>
          <w:t>Boost your skills with South Lanarkshire College courses</w:t>
        </w:r>
      </w:hyperlink>
      <w:r w:rsidR="00CF2B15" w:rsidRPr="004E3C8E">
        <w:rPr>
          <w:rFonts w:cs="Arial"/>
        </w:rPr>
        <w:t xml:space="preserve"> (advertorial)</w:t>
      </w:r>
    </w:p>
    <w:p w14:paraId="13501621" w14:textId="77777777" w:rsidR="00CF2B15" w:rsidRPr="004E3C8E" w:rsidRDefault="006303E3" w:rsidP="004E3C8E">
      <w:pPr>
        <w:pStyle w:val="ListParagraph"/>
        <w:numPr>
          <w:ilvl w:val="0"/>
          <w:numId w:val="15"/>
        </w:numPr>
        <w:rPr>
          <w:rFonts w:cs="Arial"/>
        </w:rPr>
      </w:pPr>
      <w:hyperlink r:id="rId27" w:history="1">
        <w:r w:rsidR="00CF2B15" w:rsidRPr="004E3C8E">
          <w:rPr>
            <w:rStyle w:val="Hyperlink"/>
            <w:rFonts w:cs="Arial"/>
          </w:rPr>
          <w:t>How South Lanarkshire College puts the focus on skillsets that click with employers</w:t>
        </w:r>
      </w:hyperlink>
    </w:p>
    <w:p w14:paraId="026DA5A4" w14:textId="77777777" w:rsidR="00CF2B15" w:rsidRPr="004E3C8E" w:rsidRDefault="006303E3" w:rsidP="004E3C8E">
      <w:pPr>
        <w:pStyle w:val="ListParagraph"/>
        <w:numPr>
          <w:ilvl w:val="0"/>
          <w:numId w:val="15"/>
        </w:numPr>
        <w:rPr>
          <w:rFonts w:cs="Arial"/>
        </w:rPr>
      </w:pPr>
      <w:hyperlink r:id="rId28" w:history="1">
        <w:r w:rsidR="00CF2B15" w:rsidRPr="004E3C8E">
          <w:rPr>
            <w:rStyle w:val="Hyperlink"/>
            <w:rFonts w:cs="Arial"/>
          </w:rPr>
          <w:t>More options on the route to employment with South Lanarkshire College</w:t>
        </w:r>
      </w:hyperlink>
    </w:p>
    <w:p w14:paraId="43783A27" w14:textId="77777777" w:rsidR="00CF2B15" w:rsidRPr="004E3C8E" w:rsidRDefault="006303E3" w:rsidP="004E3C8E">
      <w:pPr>
        <w:pStyle w:val="ListParagraph"/>
        <w:numPr>
          <w:ilvl w:val="0"/>
          <w:numId w:val="15"/>
        </w:numPr>
        <w:rPr>
          <w:rFonts w:cs="Arial"/>
        </w:rPr>
      </w:pPr>
      <w:hyperlink r:id="rId29" w:history="1">
        <w:r w:rsidR="00CF2B15" w:rsidRPr="004E3C8E">
          <w:rPr>
            <w:rStyle w:val="Hyperlink"/>
            <w:rFonts w:cs="Arial"/>
          </w:rPr>
          <w:t>Funding available to upskill your career at South Lanarkshire College</w:t>
        </w:r>
      </w:hyperlink>
      <w:r w:rsidR="00CF2B15" w:rsidRPr="004E3C8E">
        <w:rPr>
          <w:rFonts w:cs="Arial"/>
        </w:rPr>
        <w:t xml:space="preserve"> (advertorial)</w:t>
      </w:r>
    </w:p>
    <w:p w14:paraId="765BBF23" w14:textId="77777777" w:rsidR="00CF2B15" w:rsidRPr="004E3C8E" w:rsidRDefault="006303E3" w:rsidP="004E3C8E">
      <w:pPr>
        <w:pStyle w:val="ListParagraph"/>
        <w:numPr>
          <w:ilvl w:val="0"/>
          <w:numId w:val="15"/>
        </w:numPr>
        <w:rPr>
          <w:rFonts w:cs="Arial"/>
        </w:rPr>
      </w:pPr>
      <w:hyperlink r:id="rId30" w:history="1">
        <w:r w:rsidR="00CF2B15" w:rsidRPr="004E3C8E">
          <w:rPr>
            <w:rStyle w:val="Hyperlink"/>
            <w:rFonts w:cs="Arial"/>
          </w:rPr>
          <w:t>Opportunity flows from ‘skills pipeline’</w:t>
        </w:r>
      </w:hyperlink>
    </w:p>
    <w:p w14:paraId="38C091CF" w14:textId="77777777" w:rsidR="00CF2B15" w:rsidRPr="004E3C8E" w:rsidRDefault="006303E3" w:rsidP="004E3C8E">
      <w:pPr>
        <w:pStyle w:val="ListParagraph"/>
        <w:numPr>
          <w:ilvl w:val="0"/>
          <w:numId w:val="15"/>
        </w:numPr>
        <w:rPr>
          <w:rFonts w:cs="Arial"/>
        </w:rPr>
      </w:pPr>
      <w:hyperlink r:id="rId31" w:history="1">
        <w:r w:rsidR="00CF2B15" w:rsidRPr="004E3C8E">
          <w:rPr>
            <w:rStyle w:val="Hyperlink"/>
            <w:rFonts w:cs="Arial"/>
          </w:rPr>
          <w:t>Lanarkshire college teams up with university to offer accounting degree qualification</w:t>
        </w:r>
      </w:hyperlink>
    </w:p>
    <w:p w14:paraId="68B60658" w14:textId="77777777" w:rsidR="00CF2B15" w:rsidRDefault="00CF2B15" w:rsidP="0040045B"/>
    <w:p w14:paraId="3DE7B66E" w14:textId="7D4E6257" w:rsidR="00CF2B15" w:rsidRDefault="00CF2B15" w:rsidP="0040045B"/>
    <w:p w14:paraId="431F8F47" w14:textId="77777777" w:rsidR="00CF2B15" w:rsidRPr="0040045B" w:rsidRDefault="00CF2B15" w:rsidP="0040045B"/>
    <w:sectPr w:rsidR="00CF2B15" w:rsidRPr="0040045B" w:rsidSect="00EA27CC">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E1F2F" w14:textId="77777777" w:rsidR="0085131E" w:rsidRDefault="0085131E">
      <w:pPr>
        <w:spacing w:after="0" w:line="240" w:lineRule="auto"/>
      </w:pPr>
      <w:r>
        <w:separator/>
      </w:r>
    </w:p>
  </w:endnote>
  <w:endnote w:type="continuationSeparator" w:id="0">
    <w:p w14:paraId="534EE028" w14:textId="77777777" w:rsidR="0085131E" w:rsidRDefault="0085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993FA" w14:textId="77777777" w:rsidR="00E57474" w:rsidRPr="007E7DD0" w:rsidRDefault="00E917BA">
    <w:pPr>
      <w:pStyle w:val="Footer"/>
      <w:jc w:val="center"/>
      <w:rPr>
        <w:caps/>
        <w:noProof/>
      </w:rPr>
    </w:pPr>
    <w:r w:rsidRPr="37410F21">
      <w:rPr>
        <w:caps/>
        <w:noProof/>
      </w:rPr>
      <w:fldChar w:fldCharType="begin"/>
    </w:r>
    <w:r>
      <w:instrText>PAGE</w:instrText>
    </w:r>
    <w:r w:rsidRPr="37410F21">
      <w:rPr>
        <w:caps/>
        <w:noProof/>
      </w:rPr>
      <w:fldChar w:fldCharType="separate"/>
    </w:r>
    <w:r>
      <w:rPr>
        <w:noProof/>
      </w:rPr>
      <w:t>1</w:t>
    </w:r>
    <w:r w:rsidRPr="37410F21">
      <w:fldChar w:fldCharType="end"/>
    </w:r>
  </w:p>
  <w:p w14:paraId="3F7EC320" w14:textId="77777777" w:rsidR="00E57474" w:rsidRDefault="0063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32ED5" w14:textId="77777777" w:rsidR="0085131E" w:rsidRDefault="0085131E">
      <w:pPr>
        <w:spacing w:after="0" w:line="240" w:lineRule="auto"/>
      </w:pPr>
      <w:r>
        <w:separator/>
      </w:r>
    </w:p>
  </w:footnote>
  <w:footnote w:type="continuationSeparator" w:id="0">
    <w:p w14:paraId="52FB1CF8" w14:textId="77777777" w:rsidR="0085131E" w:rsidRDefault="00851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E1273" w14:textId="77777777" w:rsidR="00C061D0" w:rsidRDefault="006303E3">
    <w:pPr>
      <w:pStyle w:val="Header"/>
    </w:pPr>
  </w:p>
  <w:p w14:paraId="0D06858B" w14:textId="77777777" w:rsidR="37410F21" w:rsidRDefault="006303E3" w:rsidP="00C061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0427B"/>
    <w:multiLevelType w:val="multilevel"/>
    <w:tmpl w:val="562898D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69774CB"/>
    <w:multiLevelType w:val="hybridMultilevel"/>
    <w:tmpl w:val="23667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366C26"/>
    <w:multiLevelType w:val="multilevel"/>
    <w:tmpl w:val="656A2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A923F0"/>
    <w:multiLevelType w:val="hybridMultilevel"/>
    <w:tmpl w:val="DC401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E1C15"/>
    <w:multiLevelType w:val="hybridMultilevel"/>
    <w:tmpl w:val="FEF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41FE5"/>
    <w:multiLevelType w:val="hybridMultilevel"/>
    <w:tmpl w:val="8F7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8214F"/>
    <w:multiLevelType w:val="hybridMultilevel"/>
    <w:tmpl w:val="FF6E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18D8"/>
    <w:multiLevelType w:val="multilevel"/>
    <w:tmpl w:val="B802D2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58BB"/>
    <w:multiLevelType w:val="hybridMultilevel"/>
    <w:tmpl w:val="77B863BC"/>
    <w:lvl w:ilvl="0" w:tplc="DE5E475E">
      <w:start w:val="1"/>
      <w:numFmt w:val="lowerRoman"/>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E34FF2"/>
    <w:multiLevelType w:val="multilevel"/>
    <w:tmpl w:val="73EC90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FC4457"/>
    <w:multiLevelType w:val="hybridMultilevel"/>
    <w:tmpl w:val="EA5C6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37D2837"/>
    <w:multiLevelType w:val="multilevel"/>
    <w:tmpl w:val="7E9E08D2"/>
    <w:lvl w:ilvl="0">
      <w:start w:val="2"/>
      <w:numFmt w:val="decimal"/>
      <w:pStyle w:val="Bulletlist"/>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CC0087"/>
    <w:multiLevelType w:val="multilevel"/>
    <w:tmpl w:val="C986D3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8814B1"/>
    <w:multiLevelType w:val="hybridMultilevel"/>
    <w:tmpl w:val="6EE6E58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1A734C"/>
    <w:multiLevelType w:val="hybridMultilevel"/>
    <w:tmpl w:val="10EC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F5B57"/>
    <w:multiLevelType w:val="hybridMultilevel"/>
    <w:tmpl w:val="DA9E6DC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C7EEC"/>
    <w:multiLevelType w:val="multilevel"/>
    <w:tmpl w:val="B21A2A7A"/>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1"/>
  </w:num>
  <w:num w:numId="3">
    <w:abstractNumId w:val="3"/>
  </w:num>
  <w:num w:numId="4">
    <w:abstractNumId w:val="1"/>
  </w:num>
  <w:num w:numId="5">
    <w:abstractNumId w:val="6"/>
  </w:num>
  <w:num w:numId="6">
    <w:abstractNumId w:val="11"/>
  </w:num>
  <w:num w:numId="7">
    <w:abstractNumId w:val="14"/>
  </w:num>
  <w:num w:numId="8">
    <w:abstractNumId w:val="0"/>
  </w:num>
  <w:num w:numId="9">
    <w:abstractNumId w:val="8"/>
  </w:num>
  <w:num w:numId="10">
    <w:abstractNumId w:val="12"/>
  </w:num>
  <w:num w:numId="11">
    <w:abstractNumId w:val="2"/>
  </w:num>
  <w:num w:numId="12">
    <w:abstractNumId w:val="10"/>
  </w:num>
  <w:num w:numId="13">
    <w:abstractNumId w:val="9"/>
  </w:num>
  <w:num w:numId="14">
    <w:abstractNumId w:val="4"/>
  </w:num>
  <w:num w:numId="15">
    <w:abstractNumId w:val="5"/>
  </w:num>
  <w:num w:numId="16">
    <w:abstractNumId w:val="7"/>
  </w:num>
  <w:num w:numId="17">
    <w:abstractNumId w:val="11"/>
    <w:lvlOverride w:ilvl="0">
      <w:startOverride w:val="8"/>
    </w:lvlOverride>
    <w:lvlOverride w:ilvl="1"/>
  </w:num>
  <w:num w:numId="18">
    <w:abstractNumId w:val="11"/>
    <w:lvlOverride w:ilvl="0">
      <w:startOverride w:val="8"/>
    </w:lvlOverride>
    <w:lvlOverride w:ilvl="1"/>
  </w:num>
  <w:num w:numId="19">
    <w:abstractNumId w:val="11"/>
    <w:lvlOverride w:ilvl="0">
      <w:startOverride w:val="8"/>
    </w:lvlOverride>
    <w:lvlOverride w:ilvl="1"/>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20"/>
    <w:rsid w:val="00003993"/>
    <w:rsid w:val="000058B5"/>
    <w:rsid w:val="000110FD"/>
    <w:rsid w:val="00012A8B"/>
    <w:rsid w:val="00012DC4"/>
    <w:rsid w:val="00023C05"/>
    <w:rsid w:val="0003342A"/>
    <w:rsid w:val="00042AA5"/>
    <w:rsid w:val="00053CBF"/>
    <w:rsid w:val="0006198F"/>
    <w:rsid w:val="00063259"/>
    <w:rsid w:val="00082509"/>
    <w:rsid w:val="00084F6C"/>
    <w:rsid w:val="0008551E"/>
    <w:rsid w:val="00086511"/>
    <w:rsid w:val="00090A62"/>
    <w:rsid w:val="000913D2"/>
    <w:rsid w:val="000A1656"/>
    <w:rsid w:val="000A3B12"/>
    <w:rsid w:val="000C078B"/>
    <w:rsid w:val="000D5030"/>
    <w:rsid w:val="000E0820"/>
    <w:rsid w:val="000F68F9"/>
    <w:rsid w:val="000F72C4"/>
    <w:rsid w:val="00103E30"/>
    <w:rsid w:val="00107B25"/>
    <w:rsid w:val="001113EC"/>
    <w:rsid w:val="001128F0"/>
    <w:rsid w:val="00112E81"/>
    <w:rsid w:val="001403C2"/>
    <w:rsid w:val="0014320D"/>
    <w:rsid w:val="00144CCA"/>
    <w:rsid w:val="00154714"/>
    <w:rsid w:val="00161EA8"/>
    <w:rsid w:val="001837C9"/>
    <w:rsid w:val="001910A8"/>
    <w:rsid w:val="00192169"/>
    <w:rsid w:val="00195B31"/>
    <w:rsid w:val="001A3B13"/>
    <w:rsid w:val="001B44BE"/>
    <w:rsid w:val="001B4693"/>
    <w:rsid w:val="001B7B06"/>
    <w:rsid w:val="001C2C70"/>
    <w:rsid w:val="001D5381"/>
    <w:rsid w:val="001D7B3F"/>
    <w:rsid w:val="001E3FC9"/>
    <w:rsid w:val="001E4F6A"/>
    <w:rsid w:val="001F69CC"/>
    <w:rsid w:val="00201955"/>
    <w:rsid w:val="00201CCE"/>
    <w:rsid w:val="00201F67"/>
    <w:rsid w:val="00210DB9"/>
    <w:rsid w:val="00211022"/>
    <w:rsid w:val="00223508"/>
    <w:rsid w:val="002267DA"/>
    <w:rsid w:val="0022708C"/>
    <w:rsid w:val="0023354E"/>
    <w:rsid w:val="00250AAF"/>
    <w:rsid w:val="00262BCB"/>
    <w:rsid w:val="00276A74"/>
    <w:rsid w:val="00280C4E"/>
    <w:rsid w:val="00280FD4"/>
    <w:rsid w:val="00286913"/>
    <w:rsid w:val="002910FB"/>
    <w:rsid w:val="002948C1"/>
    <w:rsid w:val="002960EE"/>
    <w:rsid w:val="002A0BAB"/>
    <w:rsid w:val="002A1407"/>
    <w:rsid w:val="002C06DC"/>
    <w:rsid w:val="003062C3"/>
    <w:rsid w:val="00316978"/>
    <w:rsid w:val="003258DC"/>
    <w:rsid w:val="00327BDD"/>
    <w:rsid w:val="00344954"/>
    <w:rsid w:val="003461EA"/>
    <w:rsid w:val="00352E66"/>
    <w:rsid w:val="00352E75"/>
    <w:rsid w:val="00353569"/>
    <w:rsid w:val="00362BD1"/>
    <w:rsid w:val="00364B07"/>
    <w:rsid w:val="003757F4"/>
    <w:rsid w:val="00395026"/>
    <w:rsid w:val="00397742"/>
    <w:rsid w:val="003A4814"/>
    <w:rsid w:val="003A7D0C"/>
    <w:rsid w:val="003C132C"/>
    <w:rsid w:val="003C1B5E"/>
    <w:rsid w:val="003C4FC2"/>
    <w:rsid w:val="003C5D84"/>
    <w:rsid w:val="003D545C"/>
    <w:rsid w:val="003E0696"/>
    <w:rsid w:val="003F1211"/>
    <w:rsid w:val="003F4C01"/>
    <w:rsid w:val="0040045B"/>
    <w:rsid w:val="00403A4C"/>
    <w:rsid w:val="00423AEC"/>
    <w:rsid w:val="00427052"/>
    <w:rsid w:val="004354F9"/>
    <w:rsid w:val="00450CC5"/>
    <w:rsid w:val="00460629"/>
    <w:rsid w:val="00460996"/>
    <w:rsid w:val="00477350"/>
    <w:rsid w:val="0048318B"/>
    <w:rsid w:val="004974BE"/>
    <w:rsid w:val="004A3276"/>
    <w:rsid w:val="004B4A15"/>
    <w:rsid w:val="004B653C"/>
    <w:rsid w:val="004C01B2"/>
    <w:rsid w:val="004D0F05"/>
    <w:rsid w:val="004D7AB7"/>
    <w:rsid w:val="004E3C8E"/>
    <w:rsid w:val="004E64D4"/>
    <w:rsid w:val="0051365E"/>
    <w:rsid w:val="005138CC"/>
    <w:rsid w:val="00523243"/>
    <w:rsid w:val="00524C51"/>
    <w:rsid w:val="005269D2"/>
    <w:rsid w:val="0052710D"/>
    <w:rsid w:val="00536C2D"/>
    <w:rsid w:val="0055207A"/>
    <w:rsid w:val="00556320"/>
    <w:rsid w:val="00561C1F"/>
    <w:rsid w:val="00577085"/>
    <w:rsid w:val="0058308A"/>
    <w:rsid w:val="005A15E2"/>
    <w:rsid w:val="005B1523"/>
    <w:rsid w:val="005B5ECA"/>
    <w:rsid w:val="005C3CFD"/>
    <w:rsid w:val="005F278F"/>
    <w:rsid w:val="005F7B54"/>
    <w:rsid w:val="00604383"/>
    <w:rsid w:val="00604996"/>
    <w:rsid w:val="0062362A"/>
    <w:rsid w:val="006275D7"/>
    <w:rsid w:val="006303E3"/>
    <w:rsid w:val="00635637"/>
    <w:rsid w:val="006402EF"/>
    <w:rsid w:val="00642920"/>
    <w:rsid w:val="0064513E"/>
    <w:rsid w:val="00645192"/>
    <w:rsid w:val="00652FFC"/>
    <w:rsid w:val="00654399"/>
    <w:rsid w:val="00661E86"/>
    <w:rsid w:val="0066610E"/>
    <w:rsid w:val="00672339"/>
    <w:rsid w:val="006774B6"/>
    <w:rsid w:val="006829A2"/>
    <w:rsid w:val="006842D7"/>
    <w:rsid w:val="00687DC5"/>
    <w:rsid w:val="006B21EA"/>
    <w:rsid w:val="006B2D44"/>
    <w:rsid w:val="006B2FD9"/>
    <w:rsid w:val="006C270A"/>
    <w:rsid w:val="006C2C01"/>
    <w:rsid w:val="00712071"/>
    <w:rsid w:val="00715000"/>
    <w:rsid w:val="00723724"/>
    <w:rsid w:val="00737E73"/>
    <w:rsid w:val="00737EA1"/>
    <w:rsid w:val="00740919"/>
    <w:rsid w:val="00740E39"/>
    <w:rsid w:val="00753CD3"/>
    <w:rsid w:val="00755B9A"/>
    <w:rsid w:val="00760AA0"/>
    <w:rsid w:val="00762E1F"/>
    <w:rsid w:val="00775908"/>
    <w:rsid w:val="0078565C"/>
    <w:rsid w:val="007943ED"/>
    <w:rsid w:val="00796A4D"/>
    <w:rsid w:val="007A0AEC"/>
    <w:rsid w:val="007A1F1A"/>
    <w:rsid w:val="007A2C0B"/>
    <w:rsid w:val="007B0B87"/>
    <w:rsid w:val="007B105A"/>
    <w:rsid w:val="007B25EA"/>
    <w:rsid w:val="007C2833"/>
    <w:rsid w:val="007C4549"/>
    <w:rsid w:val="007D2ED6"/>
    <w:rsid w:val="007E0A64"/>
    <w:rsid w:val="007F4FAE"/>
    <w:rsid w:val="007F65A9"/>
    <w:rsid w:val="008129C6"/>
    <w:rsid w:val="00831647"/>
    <w:rsid w:val="00833EF1"/>
    <w:rsid w:val="00836F6F"/>
    <w:rsid w:val="008378D6"/>
    <w:rsid w:val="00843136"/>
    <w:rsid w:val="00850C20"/>
    <w:rsid w:val="0085131E"/>
    <w:rsid w:val="00853960"/>
    <w:rsid w:val="00866315"/>
    <w:rsid w:val="00866752"/>
    <w:rsid w:val="008729CE"/>
    <w:rsid w:val="00886C46"/>
    <w:rsid w:val="00887D3C"/>
    <w:rsid w:val="00890BFC"/>
    <w:rsid w:val="00892DB3"/>
    <w:rsid w:val="00893B2E"/>
    <w:rsid w:val="00895A88"/>
    <w:rsid w:val="008A0ACA"/>
    <w:rsid w:val="008A22CC"/>
    <w:rsid w:val="008A38B8"/>
    <w:rsid w:val="008B576A"/>
    <w:rsid w:val="008C16B3"/>
    <w:rsid w:val="008C373F"/>
    <w:rsid w:val="008D15AC"/>
    <w:rsid w:val="008D1A56"/>
    <w:rsid w:val="008F17B9"/>
    <w:rsid w:val="008F1928"/>
    <w:rsid w:val="00905C80"/>
    <w:rsid w:val="009155D1"/>
    <w:rsid w:val="009259DE"/>
    <w:rsid w:val="009270C8"/>
    <w:rsid w:val="00942E83"/>
    <w:rsid w:val="00957357"/>
    <w:rsid w:val="0096231F"/>
    <w:rsid w:val="0096304F"/>
    <w:rsid w:val="00971BB7"/>
    <w:rsid w:val="0099010D"/>
    <w:rsid w:val="00994189"/>
    <w:rsid w:val="009972F4"/>
    <w:rsid w:val="009B13A6"/>
    <w:rsid w:val="009B2D84"/>
    <w:rsid w:val="009C6F64"/>
    <w:rsid w:val="009C6FF8"/>
    <w:rsid w:val="009D7751"/>
    <w:rsid w:val="009F5559"/>
    <w:rsid w:val="00A000D0"/>
    <w:rsid w:val="00A01C8D"/>
    <w:rsid w:val="00A026BB"/>
    <w:rsid w:val="00A133C4"/>
    <w:rsid w:val="00A30912"/>
    <w:rsid w:val="00A51C74"/>
    <w:rsid w:val="00A57F91"/>
    <w:rsid w:val="00A64A70"/>
    <w:rsid w:val="00A806AE"/>
    <w:rsid w:val="00AA100E"/>
    <w:rsid w:val="00AA1C94"/>
    <w:rsid w:val="00AA309D"/>
    <w:rsid w:val="00AA786A"/>
    <w:rsid w:val="00AC24C3"/>
    <w:rsid w:val="00AC26F5"/>
    <w:rsid w:val="00AE12EB"/>
    <w:rsid w:val="00AF1EE3"/>
    <w:rsid w:val="00AF3196"/>
    <w:rsid w:val="00B02068"/>
    <w:rsid w:val="00B14C22"/>
    <w:rsid w:val="00B1683A"/>
    <w:rsid w:val="00B20351"/>
    <w:rsid w:val="00B26EF1"/>
    <w:rsid w:val="00B310F5"/>
    <w:rsid w:val="00B45DC0"/>
    <w:rsid w:val="00B50AD3"/>
    <w:rsid w:val="00B572E0"/>
    <w:rsid w:val="00B64282"/>
    <w:rsid w:val="00B744FC"/>
    <w:rsid w:val="00B93735"/>
    <w:rsid w:val="00BA0E05"/>
    <w:rsid w:val="00BA1980"/>
    <w:rsid w:val="00BA24BE"/>
    <w:rsid w:val="00BB283D"/>
    <w:rsid w:val="00BE3F7E"/>
    <w:rsid w:val="00BE4CA3"/>
    <w:rsid w:val="00BF09CE"/>
    <w:rsid w:val="00C04808"/>
    <w:rsid w:val="00C16931"/>
    <w:rsid w:val="00C23B4F"/>
    <w:rsid w:val="00C31FC4"/>
    <w:rsid w:val="00C3283F"/>
    <w:rsid w:val="00C506F8"/>
    <w:rsid w:val="00C51566"/>
    <w:rsid w:val="00C52766"/>
    <w:rsid w:val="00C700DF"/>
    <w:rsid w:val="00C72812"/>
    <w:rsid w:val="00C90899"/>
    <w:rsid w:val="00CA4F86"/>
    <w:rsid w:val="00CA5689"/>
    <w:rsid w:val="00CA5C6B"/>
    <w:rsid w:val="00CC0AFD"/>
    <w:rsid w:val="00CF2B15"/>
    <w:rsid w:val="00CF4F7D"/>
    <w:rsid w:val="00D07DD2"/>
    <w:rsid w:val="00D108E9"/>
    <w:rsid w:val="00D13E53"/>
    <w:rsid w:val="00D22ED4"/>
    <w:rsid w:val="00D2316F"/>
    <w:rsid w:val="00D276A3"/>
    <w:rsid w:val="00D33FD3"/>
    <w:rsid w:val="00D439C2"/>
    <w:rsid w:val="00D44542"/>
    <w:rsid w:val="00D47BC2"/>
    <w:rsid w:val="00D51C9A"/>
    <w:rsid w:val="00D55460"/>
    <w:rsid w:val="00D6449D"/>
    <w:rsid w:val="00D707AD"/>
    <w:rsid w:val="00D71F13"/>
    <w:rsid w:val="00D82581"/>
    <w:rsid w:val="00D863D5"/>
    <w:rsid w:val="00D9180F"/>
    <w:rsid w:val="00DA181D"/>
    <w:rsid w:val="00DC7508"/>
    <w:rsid w:val="00DD0ED3"/>
    <w:rsid w:val="00DD1B93"/>
    <w:rsid w:val="00DF33C8"/>
    <w:rsid w:val="00DF5DC2"/>
    <w:rsid w:val="00E007BD"/>
    <w:rsid w:val="00E01FD0"/>
    <w:rsid w:val="00E04BB5"/>
    <w:rsid w:val="00E062BB"/>
    <w:rsid w:val="00E13AEF"/>
    <w:rsid w:val="00E15499"/>
    <w:rsid w:val="00E159A2"/>
    <w:rsid w:val="00E340F0"/>
    <w:rsid w:val="00E3618A"/>
    <w:rsid w:val="00E40550"/>
    <w:rsid w:val="00E47021"/>
    <w:rsid w:val="00E53613"/>
    <w:rsid w:val="00E537BC"/>
    <w:rsid w:val="00E71685"/>
    <w:rsid w:val="00E72225"/>
    <w:rsid w:val="00E8120A"/>
    <w:rsid w:val="00E917BA"/>
    <w:rsid w:val="00EA11C9"/>
    <w:rsid w:val="00EA1441"/>
    <w:rsid w:val="00EA27CC"/>
    <w:rsid w:val="00EB290D"/>
    <w:rsid w:val="00EB5829"/>
    <w:rsid w:val="00EB6146"/>
    <w:rsid w:val="00EE0E9B"/>
    <w:rsid w:val="00EF1E7B"/>
    <w:rsid w:val="00EF3527"/>
    <w:rsid w:val="00EF438B"/>
    <w:rsid w:val="00F02EE6"/>
    <w:rsid w:val="00F05829"/>
    <w:rsid w:val="00F146CD"/>
    <w:rsid w:val="00F1666B"/>
    <w:rsid w:val="00F204E8"/>
    <w:rsid w:val="00F21857"/>
    <w:rsid w:val="00F33119"/>
    <w:rsid w:val="00F52411"/>
    <w:rsid w:val="00F547B5"/>
    <w:rsid w:val="00F54F70"/>
    <w:rsid w:val="00F842EB"/>
    <w:rsid w:val="00F9489D"/>
    <w:rsid w:val="00FB3CC0"/>
    <w:rsid w:val="00FB4FF8"/>
    <w:rsid w:val="00FE4C16"/>
    <w:rsid w:val="00FE6F90"/>
    <w:rsid w:val="00FF2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DFA8"/>
  <w15:chartTrackingRefBased/>
  <w15:docId w15:val="{43BD9E80-09C4-44A0-BD41-EFC1C781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2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6320"/>
    <w:pPr>
      <w:ind w:left="720"/>
      <w:contextualSpacing/>
    </w:pPr>
  </w:style>
  <w:style w:type="paragraph" w:styleId="Header">
    <w:name w:val="header"/>
    <w:basedOn w:val="Normal"/>
    <w:link w:val="HeaderChar"/>
    <w:uiPriority w:val="99"/>
    <w:unhideWhenUsed/>
    <w:rsid w:val="00556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320"/>
    <w:rPr>
      <w:sz w:val="22"/>
    </w:rPr>
  </w:style>
  <w:style w:type="paragraph" w:styleId="Footer">
    <w:name w:val="footer"/>
    <w:basedOn w:val="Normal"/>
    <w:link w:val="FooterChar"/>
    <w:uiPriority w:val="99"/>
    <w:unhideWhenUsed/>
    <w:rsid w:val="00556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320"/>
    <w:rPr>
      <w:sz w:val="22"/>
    </w:rPr>
  </w:style>
  <w:style w:type="paragraph" w:customStyle="1" w:styleId="Bulletlist">
    <w:name w:val="Bullet list"/>
    <w:basedOn w:val="ListParagraph"/>
    <w:autoRedefine/>
    <w:qFormat/>
    <w:rsid w:val="00556320"/>
    <w:pPr>
      <w:numPr>
        <w:numId w:val="6"/>
      </w:numPr>
      <w:spacing w:after="240" w:line="240" w:lineRule="auto"/>
      <w:contextualSpacing w:val="0"/>
    </w:pPr>
    <w:rPr>
      <w:rFonts w:eastAsia="MS Mincho" w:cs="Times New Roman"/>
      <w:iCs/>
      <w:szCs w:val="20"/>
    </w:rPr>
  </w:style>
  <w:style w:type="character" w:customStyle="1" w:styleId="ListParagraphChar">
    <w:name w:val="List Paragraph Char"/>
    <w:basedOn w:val="DefaultParagraphFont"/>
    <w:link w:val="ListParagraph"/>
    <w:uiPriority w:val="34"/>
    <w:locked/>
    <w:rsid w:val="00556320"/>
    <w:rPr>
      <w:sz w:val="22"/>
    </w:rPr>
  </w:style>
  <w:style w:type="character" w:styleId="Hyperlink">
    <w:name w:val="Hyperlink"/>
    <w:basedOn w:val="DefaultParagraphFont"/>
    <w:uiPriority w:val="99"/>
    <w:unhideWhenUsed/>
    <w:rsid w:val="00556320"/>
    <w:rPr>
      <w:color w:val="0000FF" w:themeColor="hyperlink"/>
      <w:u w:val="single"/>
    </w:rPr>
  </w:style>
  <w:style w:type="paragraph" w:styleId="BalloonText">
    <w:name w:val="Balloon Text"/>
    <w:basedOn w:val="Normal"/>
    <w:link w:val="BalloonTextChar"/>
    <w:uiPriority w:val="99"/>
    <w:semiHidden/>
    <w:unhideWhenUsed/>
    <w:rsid w:val="00296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EE"/>
    <w:rPr>
      <w:rFonts w:ascii="Segoe UI" w:hAnsi="Segoe UI" w:cs="Segoe UI"/>
      <w:sz w:val="18"/>
      <w:szCs w:val="18"/>
    </w:rPr>
  </w:style>
  <w:style w:type="character" w:styleId="UnresolvedMention">
    <w:name w:val="Unresolved Mention"/>
    <w:basedOn w:val="DefaultParagraphFont"/>
    <w:uiPriority w:val="99"/>
    <w:semiHidden/>
    <w:unhideWhenUsed/>
    <w:rsid w:val="00EA11C9"/>
    <w:rPr>
      <w:color w:val="605E5C"/>
      <w:shd w:val="clear" w:color="auto" w:fill="E1DFDD"/>
    </w:rPr>
  </w:style>
  <w:style w:type="table" w:styleId="TableGrid">
    <w:name w:val="Table Grid"/>
    <w:basedOn w:val="TableNormal"/>
    <w:uiPriority w:val="59"/>
    <w:rsid w:val="007A0AE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7477">
      <w:bodyDiv w:val="1"/>
      <w:marLeft w:val="0"/>
      <w:marRight w:val="0"/>
      <w:marTop w:val="0"/>
      <w:marBottom w:val="0"/>
      <w:divBdr>
        <w:top w:val="none" w:sz="0" w:space="0" w:color="auto"/>
        <w:left w:val="none" w:sz="0" w:space="0" w:color="auto"/>
        <w:bottom w:val="none" w:sz="0" w:space="0" w:color="auto"/>
        <w:right w:val="none" w:sz="0" w:space="0" w:color="auto"/>
      </w:divBdr>
    </w:div>
    <w:div w:id="339431107">
      <w:bodyDiv w:val="1"/>
      <w:marLeft w:val="0"/>
      <w:marRight w:val="0"/>
      <w:marTop w:val="0"/>
      <w:marBottom w:val="0"/>
      <w:divBdr>
        <w:top w:val="none" w:sz="0" w:space="0" w:color="auto"/>
        <w:left w:val="none" w:sz="0" w:space="0" w:color="auto"/>
        <w:bottom w:val="none" w:sz="0" w:space="0" w:color="auto"/>
        <w:right w:val="none" w:sz="0" w:space="0" w:color="auto"/>
      </w:divBdr>
    </w:div>
    <w:div w:id="9677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drive.google.com/file/d/1E0Rgi77BMymDPnBN0hxV72D0Nod3WJc-/view?usp=sharing" TargetMode="External"/><Relationship Id="rId26" Type="http://schemas.openxmlformats.org/officeDocument/2006/relationships/hyperlink" Target="https://www.scotsman.com/education/boost-your-skills-south-lanarkshire-college-courses-3137712" TargetMode="External"/><Relationship Id="rId3" Type="http://schemas.openxmlformats.org/officeDocument/2006/relationships/styles" Target="styles.xml"/><Relationship Id="rId21" Type="http://schemas.openxmlformats.org/officeDocument/2006/relationships/hyperlink" Target="https://www.cdn.ac.uk/choose-college-202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rive.google.com/file/d/19zY4pxm5kW50uqvJJy0oYyxpEpQPr7kh/view?usp=sharing" TargetMode="External"/><Relationship Id="rId25" Type="http://schemas.openxmlformats.org/officeDocument/2006/relationships/hyperlink" Target="https://www.heraldscotland.com/business_hq/19215240.south-lanarkshire-college-prepare-welcome-back-student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4oK3xmsgHyJOMz7hMrfAFQPqhca0X2cc/view?usp=sharing" TargetMode="External"/><Relationship Id="rId20" Type="http://schemas.openxmlformats.org/officeDocument/2006/relationships/hyperlink" Target="https://drive.google.com/file/d/19zY4pxm5kW50uqvJJy0oYyxpEpQPr7kh/view?usp=sharing" TargetMode="External"/><Relationship Id="rId29" Type="http://schemas.openxmlformats.org/officeDocument/2006/relationships/hyperlink" Target="https://www.glasgowlive.co.uk/special-features/funding-available-upskill-your-career-203306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dailyrecord.co.uk/news/local-news/south-lanarkshire-college-welcomes-new-2343757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Wqet5pyfnjKxzfzV527Y6kcx5wtA6GUu/view?usp=sharing" TargetMode="External"/><Relationship Id="rId23" Type="http://schemas.openxmlformats.org/officeDocument/2006/relationships/hyperlink" Target="https://www.glasgowlive.co.uk/special-features/your-opportunity-find-out-more-19994917" TargetMode="External"/><Relationship Id="rId28" Type="http://schemas.openxmlformats.org/officeDocument/2006/relationships/hyperlink" Target="https://www.heraldscotland.com/business_hq/19090457.options-route-employment-south-lanarkshire-college/" TargetMode="External"/><Relationship Id="rId10" Type="http://schemas.openxmlformats.org/officeDocument/2006/relationships/hyperlink" Target="https://www.south-lanarkshire-college.ac.uk/360-virtual-tour/" TargetMode="External"/><Relationship Id="rId19" Type="http://schemas.openxmlformats.org/officeDocument/2006/relationships/hyperlink" Target="https://www.glasgowlive.co.uk/special-features/time-look-future-plan-career-19814645" TargetMode="External"/><Relationship Id="rId31" Type="http://schemas.openxmlformats.org/officeDocument/2006/relationships/hyperlink" Target="https://www.dailyrecord.co.uk/in-your-area/lanarkshire/lanarkshire-college-teams-up-university-23882711" TargetMode="External"/><Relationship Id="rId4" Type="http://schemas.openxmlformats.org/officeDocument/2006/relationships/settings" Target="settings.xml"/><Relationship Id="rId9" Type="http://schemas.openxmlformats.org/officeDocument/2006/relationships/hyperlink" Target="mailto:Aileen.McKechnie@slc.ac.uk" TargetMode="External"/><Relationship Id="rId14" Type="http://schemas.openxmlformats.org/officeDocument/2006/relationships/hyperlink" Target="https://drive.google.com/file/d/1wKdhT6cOaJT9ROko4GzCASLvjfKYl4hp/view?usp=sharing" TargetMode="External"/><Relationship Id="rId22" Type="http://schemas.openxmlformats.org/officeDocument/2006/relationships/hyperlink" Target="https://www.heraldscotland.com/news/19214922.pandemic-provided-much-food-thought-south-lanarkshire-college/" TargetMode="External"/><Relationship Id="rId27" Type="http://schemas.openxmlformats.org/officeDocument/2006/relationships/hyperlink" Target="https://www.heraldscotland.com/news/19130387.south-lanarkshire-college-puts-focus-skillsets-click-employers/" TargetMode="External"/><Relationship Id="rId30" Type="http://schemas.openxmlformats.org/officeDocument/2006/relationships/hyperlink" Target="https://www.heraldscotland.com/business_hq/19078597.opportunity-flows-skills-pipeline/"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E2363-A358-43A3-BBEA-65B63416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2952</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SLC</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McManus</dc:creator>
  <cp:keywords/>
  <dc:description/>
  <cp:lastModifiedBy>Lorna Reid</cp:lastModifiedBy>
  <cp:revision>2</cp:revision>
  <cp:lastPrinted>2021-05-27T17:11:00Z</cp:lastPrinted>
  <dcterms:created xsi:type="dcterms:W3CDTF">2021-06-02T13:57:00Z</dcterms:created>
  <dcterms:modified xsi:type="dcterms:W3CDTF">2021-06-02T13:57:00Z</dcterms:modified>
</cp:coreProperties>
</file>